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7F879" w14:textId="77777777" w:rsidR="008322BC" w:rsidRDefault="008322BC">
      <w:pPr>
        <w:spacing w:after="0" w:line="240" w:lineRule="auto"/>
        <w:ind w:left="0" w:hanging="2"/>
        <w:jc w:val="both"/>
        <w:rPr>
          <w:rFonts w:ascii="Arial Narrow" w:eastAsia="Arial Narrow" w:hAnsi="Arial Narrow" w:cs="Arial Narrow"/>
        </w:rPr>
      </w:pPr>
    </w:p>
    <w:tbl>
      <w:tblPr>
        <w:tblStyle w:val="a"/>
        <w:tblW w:w="4039" w:type="dxa"/>
        <w:tblInd w:w="0" w:type="dxa"/>
        <w:tblLayout w:type="fixed"/>
        <w:tblLook w:val="0000" w:firstRow="0" w:lastRow="0" w:firstColumn="0" w:lastColumn="0" w:noHBand="0" w:noVBand="0"/>
      </w:tblPr>
      <w:tblGrid>
        <w:gridCol w:w="2622"/>
        <w:gridCol w:w="1417"/>
      </w:tblGrid>
      <w:tr w:rsidR="008322BC" w14:paraId="4B1B111D" w14:textId="77777777">
        <w:trPr>
          <w:trHeight w:val="300"/>
        </w:trPr>
        <w:tc>
          <w:tcPr>
            <w:tcW w:w="2622" w:type="dxa"/>
            <w:tcBorders>
              <w:top w:val="single" w:sz="4" w:space="0" w:color="000000"/>
              <w:left w:val="single" w:sz="4" w:space="0" w:color="000000"/>
              <w:bottom w:val="single" w:sz="4" w:space="0" w:color="000000"/>
              <w:right w:val="single" w:sz="4" w:space="0" w:color="000000"/>
            </w:tcBorders>
          </w:tcPr>
          <w:p w14:paraId="24C41B4A" w14:textId="77777777" w:rsidR="008322BC" w:rsidRDefault="006265D5">
            <w:pPr>
              <w:spacing w:after="0" w:line="240" w:lineRule="auto"/>
              <w:ind w:left="0" w:hanging="2"/>
              <w:rPr>
                <w:rFonts w:ascii="Arial" w:eastAsia="Arial" w:hAnsi="Arial" w:cs="Arial"/>
                <w:color w:val="000000"/>
              </w:rPr>
            </w:pPr>
            <w:r>
              <w:rPr>
                <w:rFonts w:ascii="Arial" w:eastAsia="Arial" w:hAnsi="Arial" w:cs="Arial"/>
                <w:b/>
                <w:color w:val="000000"/>
              </w:rPr>
              <w:t xml:space="preserve">Fecha del CVA </w:t>
            </w:r>
          </w:p>
        </w:tc>
        <w:tc>
          <w:tcPr>
            <w:tcW w:w="1417" w:type="dxa"/>
            <w:tcBorders>
              <w:top w:val="single" w:sz="4" w:space="0" w:color="000000"/>
              <w:left w:val="nil"/>
              <w:bottom w:val="single" w:sz="4" w:space="0" w:color="000000"/>
              <w:right w:val="single" w:sz="4" w:space="0" w:color="000000"/>
            </w:tcBorders>
            <w:vAlign w:val="center"/>
          </w:tcPr>
          <w:p w14:paraId="1257BDDA" w14:textId="77777777" w:rsidR="008322BC" w:rsidRDefault="006265D5">
            <w:pPr>
              <w:spacing w:after="0" w:line="240" w:lineRule="auto"/>
              <w:ind w:left="0" w:hanging="2"/>
              <w:rPr>
                <w:rFonts w:ascii="Arial" w:eastAsia="Arial" w:hAnsi="Arial" w:cs="Arial"/>
                <w:color w:val="000000"/>
              </w:rPr>
            </w:pPr>
            <w:r>
              <w:rPr>
                <w:rFonts w:ascii="Arial" w:eastAsia="Arial" w:hAnsi="Arial" w:cs="Arial"/>
                <w:color w:val="000000"/>
              </w:rPr>
              <w:t> </w:t>
            </w:r>
          </w:p>
        </w:tc>
      </w:tr>
    </w:tbl>
    <w:p w14:paraId="686C52DC" w14:textId="77777777" w:rsidR="008322BC" w:rsidRDefault="008322BC">
      <w:pPr>
        <w:spacing w:after="0" w:line="240" w:lineRule="auto"/>
        <w:ind w:left="0" w:hanging="2"/>
        <w:rPr>
          <w:rFonts w:ascii="Arial" w:eastAsia="Arial" w:hAnsi="Arial" w:cs="Arial"/>
        </w:rPr>
      </w:pPr>
    </w:p>
    <w:p w14:paraId="1EB3AD26" w14:textId="77777777" w:rsidR="008322BC" w:rsidRDefault="006265D5">
      <w:pPr>
        <w:spacing w:after="0" w:line="240" w:lineRule="auto"/>
        <w:ind w:left="0" w:hanging="2"/>
        <w:rPr>
          <w:rFonts w:ascii="Arial" w:eastAsia="Arial" w:hAnsi="Arial" w:cs="Arial"/>
        </w:rPr>
      </w:pPr>
      <w:r>
        <w:rPr>
          <w:rFonts w:ascii="Arial" w:eastAsia="Arial" w:hAnsi="Arial" w:cs="Arial"/>
          <w:b/>
        </w:rPr>
        <w:t>Parte A. DATOS PERSONALES</w:t>
      </w:r>
    </w:p>
    <w:tbl>
      <w:tblPr>
        <w:tblStyle w:val="a0"/>
        <w:tblW w:w="9087" w:type="dxa"/>
        <w:tblInd w:w="55" w:type="dxa"/>
        <w:tblLayout w:type="fixed"/>
        <w:tblLook w:val="0000" w:firstRow="0" w:lastRow="0" w:firstColumn="0" w:lastColumn="0" w:noHBand="0" w:noVBand="0"/>
      </w:tblPr>
      <w:tblGrid>
        <w:gridCol w:w="2380"/>
        <w:gridCol w:w="2120"/>
        <w:gridCol w:w="1752"/>
        <w:gridCol w:w="851"/>
        <w:gridCol w:w="1984"/>
      </w:tblGrid>
      <w:tr w:rsidR="008322BC" w14:paraId="44414D87" w14:textId="77777777">
        <w:trPr>
          <w:trHeight w:val="20"/>
        </w:trPr>
        <w:tc>
          <w:tcPr>
            <w:tcW w:w="2380" w:type="dxa"/>
            <w:tcBorders>
              <w:top w:val="single" w:sz="4" w:space="0" w:color="000000"/>
              <w:left w:val="single" w:sz="4" w:space="0" w:color="000000"/>
              <w:bottom w:val="single" w:sz="4" w:space="0" w:color="000000"/>
              <w:right w:val="single" w:sz="4" w:space="0" w:color="000000"/>
            </w:tcBorders>
            <w:vAlign w:val="center"/>
          </w:tcPr>
          <w:p w14:paraId="6E063B81" w14:textId="77777777" w:rsidR="008322BC" w:rsidRDefault="006265D5">
            <w:pPr>
              <w:spacing w:after="0" w:line="240" w:lineRule="auto"/>
              <w:ind w:left="0" w:hanging="2"/>
              <w:rPr>
                <w:rFonts w:ascii="Arial" w:eastAsia="Arial" w:hAnsi="Arial" w:cs="Arial"/>
                <w:color w:val="000000"/>
              </w:rPr>
            </w:pPr>
            <w:r>
              <w:rPr>
                <w:rFonts w:ascii="Arial" w:eastAsia="Arial" w:hAnsi="Arial" w:cs="Arial"/>
                <w:color w:val="000000"/>
              </w:rPr>
              <w:t>Nombre y apellidos</w:t>
            </w:r>
          </w:p>
        </w:tc>
        <w:tc>
          <w:tcPr>
            <w:tcW w:w="6707" w:type="dxa"/>
            <w:gridSpan w:val="4"/>
            <w:tcBorders>
              <w:top w:val="single" w:sz="4" w:space="0" w:color="000000"/>
              <w:left w:val="nil"/>
              <w:bottom w:val="single" w:sz="4" w:space="0" w:color="000000"/>
              <w:right w:val="single" w:sz="4" w:space="0" w:color="000000"/>
            </w:tcBorders>
            <w:vAlign w:val="center"/>
          </w:tcPr>
          <w:p w14:paraId="0025C69E" w14:textId="77777777" w:rsidR="008322BC" w:rsidRDefault="006265D5">
            <w:pPr>
              <w:spacing w:after="0" w:line="240" w:lineRule="auto"/>
              <w:ind w:left="0" w:hanging="2"/>
              <w:rPr>
                <w:rFonts w:ascii="Arial" w:eastAsia="Arial" w:hAnsi="Arial" w:cs="Arial"/>
                <w:color w:val="000000"/>
              </w:rPr>
            </w:pPr>
            <w:r>
              <w:rPr>
                <w:rFonts w:ascii="Arial" w:eastAsia="Arial" w:hAnsi="Arial" w:cs="Arial"/>
              </w:rPr>
              <w:t>Alejandro Hortal Sánchez</w:t>
            </w:r>
          </w:p>
        </w:tc>
      </w:tr>
      <w:tr w:rsidR="008322BC" w14:paraId="6209ED11" w14:textId="77777777">
        <w:trPr>
          <w:trHeight w:val="20"/>
        </w:trPr>
        <w:tc>
          <w:tcPr>
            <w:tcW w:w="2380" w:type="dxa"/>
            <w:tcBorders>
              <w:top w:val="nil"/>
              <w:left w:val="single" w:sz="4" w:space="0" w:color="000000"/>
              <w:bottom w:val="single" w:sz="4" w:space="0" w:color="000000"/>
              <w:right w:val="single" w:sz="4" w:space="0" w:color="000000"/>
            </w:tcBorders>
            <w:vAlign w:val="center"/>
          </w:tcPr>
          <w:p w14:paraId="1847FB61" w14:textId="77777777" w:rsidR="008322BC" w:rsidRDefault="006265D5">
            <w:pPr>
              <w:spacing w:after="0" w:line="240" w:lineRule="auto"/>
              <w:ind w:left="0" w:hanging="2"/>
              <w:rPr>
                <w:rFonts w:ascii="Arial" w:eastAsia="Arial" w:hAnsi="Arial" w:cs="Arial"/>
                <w:color w:val="000000"/>
              </w:rPr>
            </w:pPr>
            <w:r>
              <w:rPr>
                <w:rFonts w:ascii="Arial" w:eastAsia="Arial" w:hAnsi="Arial" w:cs="Arial"/>
                <w:color w:val="000000"/>
              </w:rPr>
              <w:t>DNI/NIE/pasaporte</w:t>
            </w:r>
          </w:p>
        </w:tc>
        <w:tc>
          <w:tcPr>
            <w:tcW w:w="3872" w:type="dxa"/>
            <w:gridSpan w:val="2"/>
            <w:tcBorders>
              <w:top w:val="single" w:sz="4" w:space="0" w:color="000000"/>
              <w:left w:val="nil"/>
              <w:bottom w:val="single" w:sz="4" w:space="0" w:color="000000"/>
              <w:right w:val="single" w:sz="4" w:space="0" w:color="000000"/>
            </w:tcBorders>
            <w:vAlign w:val="center"/>
          </w:tcPr>
          <w:p w14:paraId="1C83771B" w14:textId="77777777" w:rsidR="008322BC" w:rsidRDefault="008322BC">
            <w:pPr>
              <w:spacing w:after="0" w:line="240" w:lineRule="auto"/>
              <w:ind w:left="0" w:hanging="2"/>
              <w:rPr>
                <w:rFonts w:ascii="Arial" w:eastAsia="Arial" w:hAnsi="Arial" w:cs="Arial"/>
                <w:color w:val="000000"/>
              </w:rPr>
            </w:pPr>
          </w:p>
        </w:tc>
        <w:tc>
          <w:tcPr>
            <w:tcW w:w="851" w:type="dxa"/>
            <w:tcBorders>
              <w:top w:val="nil"/>
              <w:left w:val="nil"/>
              <w:bottom w:val="single" w:sz="4" w:space="0" w:color="000000"/>
              <w:right w:val="single" w:sz="4" w:space="0" w:color="000000"/>
            </w:tcBorders>
            <w:vAlign w:val="center"/>
          </w:tcPr>
          <w:p w14:paraId="7A7D097E" w14:textId="77777777" w:rsidR="008322BC" w:rsidRDefault="006265D5">
            <w:pPr>
              <w:spacing w:after="0" w:line="240" w:lineRule="auto"/>
              <w:ind w:left="0" w:hanging="2"/>
              <w:rPr>
                <w:rFonts w:ascii="Arial" w:eastAsia="Arial" w:hAnsi="Arial" w:cs="Arial"/>
                <w:color w:val="000000"/>
              </w:rPr>
            </w:pPr>
            <w:r>
              <w:rPr>
                <w:rFonts w:ascii="Arial" w:eastAsia="Arial" w:hAnsi="Arial" w:cs="Arial"/>
                <w:color w:val="000000"/>
              </w:rPr>
              <w:t>Edad</w:t>
            </w:r>
          </w:p>
        </w:tc>
        <w:tc>
          <w:tcPr>
            <w:tcW w:w="1984" w:type="dxa"/>
            <w:tcBorders>
              <w:top w:val="nil"/>
              <w:left w:val="nil"/>
              <w:bottom w:val="single" w:sz="4" w:space="0" w:color="000000"/>
              <w:right w:val="single" w:sz="4" w:space="0" w:color="000000"/>
            </w:tcBorders>
            <w:vAlign w:val="center"/>
          </w:tcPr>
          <w:p w14:paraId="29E219F1" w14:textId="77777777" w:rsidR="008322BC" w:rsidRDefault="006265D5">
            <w:pPr>
              <w:spacing w:after="0" w:line="240" w:lineRule="auto"/>
              <w:ind w:left="0" w:hanging="2"/>
              <w:rPr>
                <w:rFonts w:ascii="Arial" w:eastAsia="Arial" w:hAnsi="Arial" w:cs="Arial"/>
                <w:color w:val="000000"/>
              </w:rPr>
            </w:pPr>
            <w:r>
              <w:rPr>
                <w:rFonts w:ascii="Arial" w:eastAsia="Arial" w:hAnsi="Arial" w:cs="Arial"/>
              </w:rPr>
              <w:t>45</w:t>
            </w:r>
          </w:p>
        </w:tc>
      </w:tr>
      <w:tr w:rsidR="008322BC" w14:paraId="0165001A" w14:textId="77777777">
        <w:trPr>
          <w:trHeight w:val="20"/>
        </w:trPr>
        <w:tc>
          <w:tcPr>
            <w:tcW w:w="4500" w:type="dxa"/>
            <w:gridSpan w:val="2"/>
            <w:vMerge w:val="restart"/>
            <w:tcBorders>
              <w:top w:val="single" w:sz="4" w:space="0" w:color="000000"/>
              <w:left w:val="single" w:sz="4" w:space="0" w:color="000000"/>
              <w:bottom w:val="single" w:sz="4" w:space="0" w:color="000000"/>
              <w:right w:val="single" w:sz="4" w:space="0" w:color="000000"/>
            </w:tcBorders>
            <w:vAlign w:val="center"/>
          </w:tcPr>
          <w:p w14:paraId="31D8A00F" w14:textId="77777777" w:rsidR="008322BC" w:rsidRDefault="006265D5">
            <w:pPr>
              <w:spacing w:after="0" w:line="240" w:lineRule="auto"/>
              <w:ind w:left="0" w:hanging="2"/>
              <w:rPr>
                <w:rFonts w:ascii="Arial" w:eastAsia="Arial" w:hAnsi="Arial" w:cs="Arial"/>
                <w:color w:val="000000"/>
              </w:rPr>
            </w:pPr>
            <w:r>
              <w:rPr>
                <w:rFonts w:ascii="Arial" w:eastAsia="Arial" w:hAnsi="Arial" w:cs="Arial"/>
                <w:color w:val="000000"/>
              </w:rPr>
              <w:t>Núm. identificación del investigador</w:t>
            </w:r>
          </w:p>
        </w:tc>
        <w:tc>
          <w:tcPr>
            <w:tcW w:w="1752" w:type="dxa"/>
            <w:tcBorders>
              <w:top w:val="single" w:sz="4" w:space="0" w:color="000000"/>
              <w:left w:val="nil"/>
              <w:bottom w:val="single" w:sz="4" w:space="0" w:color="000000"/>
              <w:right w:val="single" w:sz="4" w:space="0" w:color="000000"/>
            </w:tcBorders>
            <w:vAlign w:val="center"/>
          </w:tcPr>
          <w:p w14:paraId="5E813517" w14:textId="77777777" w:rsidR="008322BC" w:rsidRDefault="006265D5">
            <w:pPr>
              <w:spacing w:after="0" w:line="240" w:lineRule="auto"/>
              <w:ind w:left="0" w:hanging="2"/>
              <w:rPr>
                <w:rFonts w:ascii="Arial" w:eastAsia="Arial" w:hAnsi="Arial" w:cs="Arial"/>
                <w:color w:val="000000"/>
              </w:rPr>
            </w:pPr>
            <w:proofErr w:type="spellStart"/>
            <w:r>
              <w:rPr>
                <w:rFonts w:ascii="Arial" w:eastAsia="Arial" w:hAnsi="Arial" w:cs="Arial"/>
                <w:color w:val="000000"/>
              </w:rPr>
              <w:t>Researcher</w:t>
            </w:r>
            <w:proofErr w:type="spellEnd"/>
            <w:r>
              <w:rPr>
                <w:rFonts w:ascii="Arial" w:eastAsia="Arial" w:hAnsi="Arial" w:cs="Arial"/>
                <w:color w:val="000000"/>
              </w:rPr>
              <w:t xml:space="preserve"> ID</w:t>
            </w:r>
          </w:p>
        </w:tc>
        <w:tc>
          <w:tcPr>
            <w:tcW w:w="2835" w:type="dxa"/>
            <w:gridSpan w:val="2"/>
            <w:tcBorders>
              <w:top w:val="single" w:sz="4" w:space="0" w:color="000000"/>
              <w:left w:val="nil"/>
              <w:bottom w:val="single" w:sz="4" w:space="0" w:color="000000"/>
              <w:right w:val="single" w:sz="4" w:space="0" w:color="000000"/>
            </w:tcBorders>
            <w:vAlign w:val="center"/>
          </w:tcPr>
          <w:p w14:paraId="1DDEA4CD" w14:textId="77777777" w:rsidR="008322BC" w:rsidRDefault="006265D5">
            <w:pPr>
              <w:spacing w:after="0" w:line="240" w:lineRule="auto"/>
              <w:ind w:left="0" w:hanging="2"/>
              <w:rPr>
                <w:rFonts w:ascii="Arial" w:eastAsia="Arial" w:hAnsi="Arial" w:cs="Arial"/>
                <w:color w:val="000000"/>
              </w:rPr>
            </w:pPr>
            <w:r>
              <w:rPr>
                <w:rFonts w:ascii="Arial" w:eastAsia="Arial" w:hAnsi="Arial" w:cs="Arial"/>
                <w:color w:val="000000"/>
              </w:rPr>
              <w:t> </w:t>
            </w:r>
          </w:p>
        </w:tc>
      </w:tr>
      <w:tr w:rsidR="008322BC" w14:paraId="359EF3F9" w14:textId="77777777">
        <w:trPr>
          <w:trHeight w:val="20"/>
        </w:trPr>
        <w:tc>
          <w:tcPr>
            <w:tcW w:w="4500" w:type="dxa"/>
            <w:gridSpan w:val="2"/>
            <w:vMerge/>
            <w:tcBorders>
              <w:top w:val="single" w:sz="4" w:space="0" w:color="000000"/>
              <w:left w:val="single" w:sz="4" w:space="0" w:color="000000"/>
              <w:bottom w:val="single" w:sz="4" w:space="0" w:color="000000"/>
              <w:right w:val="single" w:sz="4" w:space="0" w:color="000000"/>
            </w:tcBorders>
            <w:vAlign w:val="center"/>
          </w:tcPr>
          <w:p w14:paraId="1AC19EB1" w14:textId="77777777" w:rsidR="008322BC" w:rsidRDefault="008322BC">
            <w:pPr>
              <w:widowControl w:val="0"/>
              <w:pBdr>
                <w:top w:val="nil"/>
                <w:left w:val="nil"/>
                <w:bottom w:val="nil"/>
                <w:right w:val="nil"/>
                <w:between w:val="nil"/>
              </w:pBdr>
              <w:spacing w:after="0"/>
              <w:ind w:left="0" w:hanging="2"/>
              <w:rPr>
                <w:rFonts w:ascii="Arial" w:eastAsia="Arial" w:hAnsi="Arial" w:cs="Arial"/>
                <w:color w:val="000000"/>
              </w:rPr>
            </w:pPr>
          </w:p>
        </w:tc>
        <w:tc>
          <w:tcPr>
            <w:tcW w:w="1752" w:type="dxa"/>
            <w:tcBorders>
              <w:top w:val="single" w:sz="4" w:space="0" w:color="000000"/>
              <w:left w:val="nil"/>
              <w:bottom w:val="single" w:sz="4" w:space="0" w:color="000000"/>
              <w:right w:val="single" w:sz="4" w:space="0" w:color="000000"/>
            </w:tcBorders>
            <w:vAlign w:val="center"/>
          </w:tcPr>
          <w:p w14:paraId="10F1BD74" w14:textId="77777777" w:rsidR="008322BC" w:rsidRDefault="006265D5">
            <w:pPr>
              <w:spacing w:after="0" w:line="240" w:lineRule="auto"/>
              <w:ind w:left="0" w:hanging="2"/>
              <w:rPr>
                <w:rFonts w:ascii="Arial" w:eastAsia="Arial" w:hAnsi="Arial" w:cs="Arial"/>
                <w:color w:val="000000"/>
              </w:rPr>
            </w:pPr>
            <w:r>
              <w:rPr>
                <w:rFonts w:ascii="Arial" w:eastAsia="Arial" w:hAnsi="Arial" w:cs="Arial"/>
                <w:color w:val="000000"/>
              </w:rPr>
              <w:t xml:space="preserve">Código </w:t>
            </w:r>
            <w:proofErr w:type="spellStart"/>
            <w:r>
              <w:rPr>
                <w:rFonts w:ascii="Arial" w:eastAsia="Arial" w:hAnsi="Arial" w:cs="Arial"/>
                <w:color w:val="000000"/>
              </w:rPr>
              <w:t>Orcid</w:t>
            </w:r>
            <w:proofErr w:type="spellEnd"/>
          </w:p>
        </w:tc>
        <w:tc>
          <w:tcPr>
            <w:tcW w:w="2835" w:type="dxa"/>
            <w:gridSpan w:val="2"/>
            <w:tcBorders>
              <w:top w:val="single" w:sz="4" w:space="0" w:color="000000"/>
              <w:left w:val="nil"/>
              <w:bottom w:val="single" w:sz="4" w:space="0" w:color="000000"/>
              <w:right w:val="single" w:sz="4" w:space="0" w:color="000000"/>
            </w:tcBorders>
            <w:vAlign w:val="center"/>
          </w:tcPr>
          <w:p w14:paraId="24FDBF41" w14:textId="77777777" w:rsidR="008322BC" w:rsidRDefault="006265D5">
            <w:pPr>
              <w:spacing w:after="0" w:line="240" w:lineRule="auto"/>
              <w:ind w:left="0" w:hanging="2"/>
              <w:rPr>
                <w:rFonts w:ascii="Arial" w:eastAsia="Arial" w:hAnsi="Arial" w:cs="Arial"/>
                <w:color w:val="000000"/>
              </w:rPr>
            </w:pPr>
            <w:r>
              <w:rPr>
                <w:rFonts w:ascii="Arial" w:eastAsia="Arial" w:hAnsi="Arial" w:cs="Arial"/>
                <w:color w:val="000000"/>
              </w:rPr>
              <w:t> 0000-0001-6255-4488</w:t>
            </w:r>
          </w:p>
        </w:tc>
      </w:tr>
    </w:tbl>
    <w:p w14:paraId="2E026100" w14:textId="77777777" w:rsidR="008322BC" w:rsidRDefault="008322BC">
      <w:pPr>
        <w:spacing w:after="0" w:line="240" w:lineRule="auto"/>
        <w:ind w:left="0" w:hanging="2"/>
        <w:rPr>
          <w:rFonts w:ascii="Arial" w:eastAsia="Arial" w:hAnsi="Arial" w:cs="Arial"/>
        </w:rPr>
      </w:pPr>
    </w:p>
    <w:p w14:paraId="2C500E60" w14:textId="77777777" w:rsidR="008322BC" w:rsidRDefault="006265D5">
      <w:pPr>
        <w:spacing w:after="0" w:line="240" w:lineRule="auto"/>
        <w:ind w:left="0" w:hanging="2"/>
        <w:rPr>
          <w:rFonts w:ascii="Arial" w:eastAsia="Arial" w:hAnsi="Arial" w:cs="Arial"/>
        </w:rPr>
      </w:pPr>
      <w:r>
        <w:rPr>
          <w:rFonts w:ascii="Arial" w:eastAsia="Arial" w:hAnsi="Arial" w:cs="Arial"/>
          <w:b/>
        </w:rPr>
        <w:t>A.1. Situación profesional actual</w:t>
      </w:r>
      <w:r>
        <w:rPr>
          <w:rFonts w:ascii="Arial" w:eastAsia="Arial" w:hAnsi="Arial" w:cs="Arial"/>
        </w:rPr>
        <w:t xml:space="preserve"> </w:t>
      </w:r>
    </w:p>
    <w:tbl>
      <w:tblPr>
        <w:tblStyle w:val="a1"/>
        <w:tblW w:w="9087" w:type="dxa"/>
        <w:tblInd w:w="55" w:type="dxa"/>
        <w:tblLayout w:type="fixed"/>
        <w:tblLook w:val="0000" w:firstRow="0" w:lastRow="0" w:firstColumn="0" w:lastColumn="0" w:noHBand="0" w:noVBand="0"/>
      </w:tblPr>
      <w:tblGrid>
        <w:gridCol w:w="2386"/>
        <w:gridCol w:w="1508"/>
        <w:gridCol w:w="1933"/>
        <w:gridCol w:w="3260"/>
      </w:tblGrid>
      <w:tr w:rsidR="008322BC" w:rsidRPr="006265D5" w14:paraId="381B3EE3" w14:textId="77777777">
        <w:trPr>
          <w:trHeight w:val="20"/>
        </w:trPr>
        <w:tc>
          <w:tcPr>
            <w:tcW w:w="2386" w:type="dxa"/>
            <w:tcBorders>
              <w:top w:val="single" w:sz="4" w:space="0" w:color="000000"/>
              <w:left w:val="single" w:sz="4" w:space="0" w:color="000000"/>
              <w:bottom w:val="single" w:sz="4" w:space="0" w:color="000000"/>
              <w:right w:val="single" w:sz="4" w:space="0" w:color="000000"/>
            </w:tcBorders>
            <w:vAlign w:val="center"/>
          </w:tcPr>
          <w:p w14:paraId="16443665" w14:textId="77777777" w:rsidR="008322BC" w:rsidRDefault="006265D5">
            <w:pPr>
              <w:spacing w:after="0" w:line="240" w:lineRule="auto"/>
              <w:ind w:left="0" w:hanging="2"/>
              <w:rPr>
                <w:rFonts w:ascii="Arial" w:eastAsia="Arial" w:hAnsi="Arial" w:cs="Arial"/>
                <w:color w:val="000000"/>
              </w:rPr>
            </w:pPr>
            <w:r>
              <w:rPr>
                <w:rFonts w:ascii="Arial" w:eastAsia="Arial" w:hAnsi="Arial" w:cs="Arial"/>
                <w:color w:val="000000"/>
              </w:rPr>
              <w:t>Organismo</w:t>
            </w:r>
          </w:p>
        </w:tc>
        <w:tc>
          <w:tcPr>
            <w:tcW w:w="6701" w:type="dxa"/>
            <w:gridSpan w:val="3"/>
            <w:tcBorders>
              <w:top w:val="single" w:sz="4" w:space="0" w:color="000000"/>
              <w:left w:val="nil"/>
              <w:bottom w:val="single" w:sz="4" w:space="0" w:color="000000"/>
              <w:right w:val="single" w:sz="4" w:space="0" w:color="000000"/>
            </w:tcBorders>
            <w:vAlign w:val="center"/>
          </w:tcPr>
          <w:p w14:paraId="51E77909" w14:textId="77777777" w:rsidR="008322BC" w:rsidRPr="006265D5" w:rsidRDefault="006265D5">
            <w:pPr>
              <w:spacing w:after="0" w:line="240" w:lineRule="auto"/>
              <w:ind w:left="0" w:hanging="2"/>
              <w:jc w:val="center"/>
              <w:rPr>
                <w:rFonts w:ascii="Arial" w:eastAsia="Arial" w:hAnsi="Arial" w:cs="Arial"/>
                <w:color w:val="000000"/>
                <w:lang w:val="en-US"/>
              </w:rPr>
            </w:pPr>
            <w:r w:rsidRPr="006265D5">
              <w:rPr>
                <w:rFonts w:ascii="Arial" w:eastAsia="Arial" w:hAnsi="Arial" w:cs="Arial"/>
                <w:lang w:val="en-US"/>
              </w:rPr>
              <w:t>University of North Carolina Greensboro</w:t>
            </w:r>
            <w:r w:rsidRPr="006265D5">
              <w:rPr>
                <w:rFonts w:ascii="Arial" w:eastAsia="Arial" w:hAnsi="Arial" w:cs="Arial"/>
                <w:color w:val="000000"/>
                <w:lang w:val="en-US"/>
              </w:rPr>
              <w:t> </w:t>
            </w:r>
          </w:p>
        </w:tc>
      </w:tr>
      <w:tr w:rsidR="008322BC" w14:paraId="6FBE21C9" w14:textId="77777777">
        <w:trPr>
          <w:trHeight w:val="20"/>
        </w:trPr>
        <w:tc>
          <w:tcPr>
            <w:tcW w:w="2386" w:type="dxa"/>
            <w:tcBorders>
              <w:top w:val="nil"/>
              <w:left w:val="single" w:sz="4" w:space="0" w:color="000000"/>
              <w:bottom w:val="single" w:sz="4" w:space="0" w:color="000000"/>
              <w:right w:val="single" w:sz="4" w:space="0" w:color="000000"/>
            </w:tcBorders>
            <w:vAlign w:val="center"/>
          </w:tcPr>
          <w:p w14:paraId="08486488" w14:textId="77777777" w:rsidR="008322BC" w:rsidRDefault="006265D5">
            <w:pPr>
              <w:spacing w:after="0" w:line="240" w:lineRule="auto"/>
              <w:ind w:left="0" w:hanging="2"/>
              <w:rPr>
                <w:rFonts w:ascii="Arial" w:eastAsia="Arial" w:hAnsi="Arial" w:cs="Arial"/>
                <w:color w:val="000000"/>
              </w:rPr>
            </w:pPr>
            <w:r>
              <w:rPr>
                <w:rFonts w:ascii="Arial" w:eastAsia="Arial" w:hAnsi="Arial" w:cs="Arial"/>
                <w:color w:val="000000"/>
              </w:rPr>
              <w:t>Dpto./Centro</w:t>
            </w:r>
          </w:p>
        </w:tc>
        <w:tc>
          <w:tcPr>
            <w:tcW w:w="6701" w:type="dxa"/>
            <w:gridSpan w:val="3"/>
            <w:tcBorders>
              <w:top w:val="single" w:sz="4" w:space="0" w:color="000000"/>
              <w:left w:val="nil"/>
              <w:bottom w:val="single" w:sz="4" w:space="0" w:color="000000"/>
              <w:right w:val="single" w:sz="4" w:space="0" w:color="000000"/>
            </w:tcBorders>
            <w:vAlign w:val="center"/>
          </w:tcPr>
          <w:p w14:paraId="5C45759E" w14:textId="77777777" w:rsidR="008322BC" w:rsidRDefault="006265D5">
            <w:pPr>
              <w:spacing w:after="0" w:line="240" w:lineRule="auto"/>
              <w:ind w:left="0" w:hanging="2"/>
              <w:jc w:val="center"/>
              <w:rPr>
                <w:rFonts w:ascii="Arial" w:eastAsia="Arial" w:hAnsi="Arial" w:cs="Arial"/>
                <w:color w:val="000000"/>
              </w:rPr>
            </w:pPr>
            <w:proofErr w:type="spellStart"/>
            <w:r>
              <w:rPr>
                <w:rFonts w:ascii="Arial" w:eastAsia="Arial" w:hAnsi="Arial" w:cs="Arial"/>
              </w:rPr>
              <w:t>Languages</w:t>
            </w:r>
            <w:proofErr w:type="spellEnd"/>
            <w:r>
              <w:rPr>
                <w:rFonts w:ascii="Arial" w:eastAsia="Arial" w:hAnsi="Arial" w:cs="Arial"/>
              </w:rPr>
              <w:t xml:space="preserve">, </w:t>
            </w:r>
            <w:proofErr w:type="spellStart"/>
            <w:r>
              <w:rPr>
                <w:rFonts w:ascii="Arial" w:eastAsia="Arial" w:hAnsi="Arial" w:cs="Arial"/>
              </w:rPr>
              <w:t>Literatures</w:t>
            </w:r>
            <w:proofErr w:type="spellEnd"/>
            <w:r>
              <w:rPr>
                <w:rFonts w:ascii="Arial" w:eastAsia="Arial" w:hAnsi="Arial" w:cs="Arial"/>
              </w:rPr>
              <w:t>, and Cultures</w:t>
            </w:r>
            <w:r>
              <w:rPr>
                <w:rFonts w:ascii="Arial" w:eastAsia="Arial" w:hAnsi="Arial" w:cs="Arial"/>
                <w:color w:val="000000"/>
              </w:rPr>
              <w:t> </w:t>
            </w:r>
          </w:p>
        </w:tc>
      </w:tr>
      <w:tr w:rsidR="008322BC" w14:paraId="0643C1E2" w14:textId="77777777">
        <w:trPr>
          <w:trHeight w:val="20"/>
        </w:trPr>
        <w:tc>
          <w:tcPr>
            <w:tcW w:w="2386" w:type="dxa"/>
            <w:tcBorders>
              <w:top w:val="nil"/>
              <w:left w:val="single" w:sz="4" w:space="0" w:color="000000"/>
              <w:bottom w:val="single" w:sz="4" w:space="0" w:color="000000"/>
              <w:right w:val="single" w:sz="4" w:space="0" w:color="000000"/>
            </w:tcBorders>
            <w:vAlign w:val="center"/>
          </w:tcPr>
          <w:p w14:paraId="6C2311BB" w14:textId="77777777" w:rsidR="008322BC" w:rsidRDefault="006265D5">
            <w:pPr>
              <w:spacing w:after="0" w:line="240" w:lineRule="auto"/>
              <w:ind w:left="0" w:hanging="2"/>
              <w:rPr>
                <w:rFonts w:ascii="Arial" w:eastAsia="Arial" w:hAnsi="Arial" w:cs="Arial"/>
                <w:color w:val="000000"/>
              </w:rPr>
            </w:pPr>
            <w:r>
              <w:rPr>
                <w:rFonts w:ascii="Arial" w:eastAsia="Arial" w:hAnsi="Arial" w:cs="Arial"/>
                <w:color w:val="000000"/>
              </w:rPr>
              <w:t>Dirección</w:t>
            </w:r>
          </w:p>
        </w:tc>
        <w:tc>
          <w:tcPr>
            <w:tcW w:w="6701" w:type="dxa"/>
            <w:gridSpan w:val="3"/>
            <w:tcBorders>
              <w:top w:val="single" w:sz="4" w:space="0" w:color="000000"/>
              <w:left w:val="nil"/>
              <w:bottom w:val="single" w:sz="4" w:space="0" w:color="000000"/>
              <w:right w:val="single" w:sz="4" w:space="0" w:color="000000"/>
            </w:tcBorders>
            <w:vAlign w:val="center"/>
          </w:tcPr>
          <w:p w14:paraId="186C1A90" w14:textId="77777777" w:rsidR="008322BC" w:rsidRDefault="006265D5">
            <w:pPr>
              <w:spacing w:after="0" w:line="240" w:lineRule="auto"/>
              <w:ind w:left="0" w:hanging="2"/>
              <w:jc w:val="center"/>
              <w:rPr>
                <w:rFonts w:ascii="Arial" w:eastAsia="Arial" w:hAnsi="Arial" w:cs="Arial"/>
                <w:color w:val="000000"/>
              </w:rPr>
            </w:pPr>
            <w:r w:rsidRPr="006265D5">
              <w:rPr>
                <w:rFonts w:ascii="Arial" w:eastAsia="Arial" w:hAnsi="Arial" w:cs="Arial"/>
                <w:lang w:val="en-US"/>
              </w:rPr>
              <w:t xml:space="preserve">Moore Humanities Research Building, 1111 Spring Garden St, Greensboro, NC. </w:t>
            </w:r>
            <w:r>
              <w:rPr>
                <w:rFonts w:ascii="Arial" w:eastAsia="Arial" w:hAnsi="Arial" w:cs="Arial"/>
              </w:rPr>
              <w:t>USA</w:t>
            </w:r>
          </w:p>
        </w:tc>
      </w:tr>
      <w:tr w:rsidR="008322BC" w14:paraId="7135F0CC" w14:textId="77777777">
        <w:trPr>
          <w:trHeight w:val="20"/>
        </w:trPr>
        <w:tc>
          <w:tcPr>
            <w:tcW w:w="2386" w:type="dxa"/>
            <w:tcBorders>
              <w:top w:val="nil"/>
              <w:left w:val="single" w:sz="4" w:space="0" w:color="000000"/>
              <w:bottom w:val="single" w:sz="4" w:space="0" w:color="000000"/>
              <w:right w:val="single" w:sz="4" w:space="0" w:color="000000"/>
            </w:tcBorders>
            <w:vAlign w:val="center"/>
          </w:tcPr>
          <w:p w14:paraId="7071BE16" w14:textId="77777777" w:rsidR="008322BC" w:rsidRDefault="006265D5">
            <w:pPr>
              <w:spacing w:after="0" w:line="240" w:lineRule="auto"/>
              <w:ind w:left="0" w:hanging="2"/>
              <w:rPr>
                <w:rFonts w:ascii="Arial" w:eastAsia="Arial" w:hAnsi="Arial" w:cs="Arial"/>
                <w:color w:val="000000"/>
              </w:rPr>
            </w:pPr>
            <w:r>
              <w:rPr>
                <w:rFonts w:ascii="Arial" w:eastAsia="Arial" w:hAnsi="Arial" w:cs="Arial"/>
                <w:color w:val="000000"/>
              </w:rPr>
              <w:t>Teléfono</w:t>
            </w:r>
          </w:p>
        </w:tc>
        <w:tc>
          <w:tcPr>
            <w:tcW w:w="1508" w:type="dxa"/>
            <w:tcBorders>
              <w:top w:val="nil"/>
              <w:left w:val="nil"/>
              <w:bottom w:val="single" w:sz="4" w:space="0" w:color="000000"/>
              <w:right w:val="single" w:sz="4" w:space="0" w:color="000000"/>
            </w:tcBorders>
            <w:vAlign w:val="center"/>
          </w:tcPr>
          <w:p w14:paraId="56963AAA" w14:textId="77777777" w:rsidR="008322BC" w:rsidRDefault="006265D5">
            <w:pPr>
              <w:spacing w:after="0" w:line="240" w:lineRule="auto"/>
              <w:ind w:left="0" w:hanging="2"/>
              <w:rPr>
                <w:rFonts w:ascii="Arial" w:eastAsia="Arial" w:hAnsi="Arial" w:cs="Arial"/>
                <w:color w:val="000000"/>
              </w:rPr>
            </w:pPr>
            <w:r>
              <w:rPr>
                <w:rFonts w:ascii="Arial" w:eastAsia="Arial" w:hAnsi="Arial" w:cs="Arial"/>
                <w:color w:val="000000"/>
              </w:rPr>
              <w:t> </w:t>
            </w:r>
          </w:p>
        </w:tc>
        <w:tc>
          <w:tcPr>
            <w:tcW w:w="1933" w:type="dxa"/>
            <w:tcBorders>
              <w:top w:val="nil"/>
              <w:left w:val="nil"/>
              <w:bottom w:val="single" w:sz="4" w:space="0" w:color="000000"/>
              <w:right w:val="single" w:sz="4" w:space="0" w:color="000000"/>
            </w:tcBorders>
            <w:vAlign w:val="center"/>
          </w:tcPr>
          <w:p w14:paraId="5C558285" w14:textId="77777777" w:rsidR="008322BC" w:rsidRDefault="006265D5">
            <w:pPr>
              <w:spacing w:after="0" w:line="240" w:lineRule="auto"/>
              <w:ind w:left="0" w:hanging="2"/>
              <w:rPr>
                <w:rFonts w:ascii="Arial" w:eastAsia="Arial" w:hAnsi="Arial" w:cs="Arial"/>
                <w:color w:val="000000"/>
              </w:rPr>
            </w:pPr>
            <w:r>
              <w:rPr>
                <w:rFonts w:ascii="Arial" w:eastAsia="Arial" w:hAnsi="Arial" w:cs="Arial"/>
                <w:color w:val="000000"/>
              </w:rPr>
              <w:t>correo electrónico</w:t>
            </w:r>
          </w:p>
        </w:tc>
        <w:tc>
          <w:tcPr>
            <w:tcW w:w="3260" w:type="dxa"/>
            <w:tcBorders>
              <w:top w:val="single" w:sz="4" w:space="0" w:color="000000"/>
              <w:left w:val="nil"/>
              <w:bottom w:val="single" w:sz="4" w:space="0" w:color="000000"/>
              <w:right w:val="single" w:sz="4" w:space="0" w:color="000000"/>
            </w:tcBorders>
            <w:vAlign w:val="center"/>
          </w:tcPr>
          <w:p w14:paraId="577CFE55" w14:textId="77777777" w:rsidR="008322BC" w:rsidRDefault="006265D5">
            <w:pPr>
              <w:spacing w:after="0" w:line="240" w:lineRule="auto"/>
              <w:ind w:left="0" w:hanging="2"/>
              <w:rPr>
                <w:color w:val="0000FF"/>
                <w:u w:val="single"/>
              </w:rPr>
            </w:pPr>
            <w:r>
              <w:rPr>
                <w:color w:val="0000FF"/>
                <w:u w:val="single"/>
              </w:rPr>
              <w:t>a_hortal@uncg.edu</w:t>
            </w:r>
          </w:p>
        </w:tc>
      </w:tr>
      <w:tr w:rsidR="008322BC" w14:paraId="203C0147" w14:textId="77777777">
        <w:trPr>
          <w:trHeight w:val="20"/>
        </w:trPr>
        <w:tc>
          <w:tcPr>
            <w:tcW w:w="2386" w:type="dxa"/>
            <w:tcBorders>
              <w:top w:val="nil"/>
              <w:left w:val="single" w:sz="4" w:space="0" w:color="000000"/>
              <w:bottom w:val="single" w:sz="4" w:space="0" w:color="000000"/>
              <w:right w:val="single" w:sz="4" w:space="0" w:color="000000"/>
            </w:tcBorders>
            <w:vAlign w:val="center"/>
          </w:tcPr>
          <w:p w14:paraId="3D63ADDB" w14:textId="77777777" w:rsidR="008322BC" w:rsidRDefault="006265D5">
            <w:pPr>
              <w:spacing w:after="0" w:line="240" w:lineRule="auto"/>
              <w:ind w:left="0" w:hanging="2"/>
              <w:rPr>
                <w:rFonts w:ascii="Arial" w:eastAsia="Arial" w:hAnsi="Arial" w:cs="Arial"/>
                <w:color w:val="000000"/>
              </w:rPr>
            </w:pPr>
            <w:r>
              <w:rPr>
                <w:rFonts w:ascii="Arial" w:eastAsia="Arial" w:hAnsi="Arial" w:cs="Arial"/>
                <w:color w:val="000000"/>
              </w:rPr>
              <w:t>Categoría profesional</w:t>
            </w:r>
          </w:p>
        </w:tc>
        <w:tc>
          <w:tcPr>
            <w:tcW w:w="6701" w:type="dxa"/>
            <w:gridSpan w:val="3"/>
            <w:tcBorders>
              <w:top w:val="single" w:sz="4" w:space="0" w:color="000000"/>
              <w:left w:val="nil"/>
              <w:bottom w:val="single" w:sz="4" w:space="0" w:color="000000"/>
              <w:right w:val="single" w:sz="4" w:space="0" w:color="000000"/>
            </w:tcBorders>
            <w:vAlign w:val="center"/>
          </w:tcPr>
          <w:p w14:paraId="34118C31" w14:textId="77777777" w:rsidR="008322BC" w:rsidRDefault="006265D5">
            <w:pPr>
              <w:spacing w:after="0" w:line="240" w:lineRule="auto"/>
              <w:ind w:left="0" w:hanging="2"/>
              <w:jc w:val="center"/>
              <w:rPr>
                <w:rFonts w:ascii="Arial" w:eastAsia="Arial" w:hAnsi="Arial" w:cs="Arial"/>
              </w:rPr>
            </w:pPr>
            <w:r>
              <w:rPr>
                <w:rFonts w:ascii="Arial" w:eastAsia="Arial" w:hAnsi="Arial" w:cs="Arial"/>
              </w:rPr>
              <w:t xml:space="preserve">Senior </w:t>
            </w:r>
            <w:proofErr w:type="spellStart"/>
            <w:r>
              <w:rPr>
                <w:rFonts w:ascii="Arial" w:eastAsia="Arial" w:hAnsi="Arial" w:cs="Arial"/>
              </w:rPr>
              <w:t>Lecturer</w:t>
            </w:r>
            <w:proofErr w:type="spellEnd"/>
          </w:p>
        </w:tc>
      </w:tr>
      <w:tr w:rsidR="008322BC" w14:paraId="2FFDEE59" w14:textId="77777777">
        <w:trPr>
          <w:trHeight w:val="20"/>
        </w:trPr>
        <w:tc>
          <w:tcPr>
            <w:tcW w:w="2386" w:type="dxa"/>
            <w:tcBorders>
              <w:top w:val="nil"/>
              <w:left w:val="single" w:sz="4" w:space="0" w:color="000000"/>
              <w:bottom w:val="single" w:sz="4" w:space="0" w:color="000000"/>
              <w:right w:val="single" w:sz="4" w:space="0" w:color="000000"/>
            </w:tcBorders>
            <w:vAlign w:val="center"/>
          </w:tcPr>
          <w:p w14:paraId="3909D397" w14:textId="77777777" w:rsidR="008322BC" w:rsidRDefault="006265D5">
            <w:pPr>
              <w:spacing w:after="0" w:line="240" w:lineRule="auto"/>
              <w:ind w:left="0" w:hanging="2"/>
              <w:rPr>
                <w:rFonts w:ascii="Arial" w:eastAsia="Arial" w:hAnsi="Arial" w:cs="Arial"/>
                <w:color w:val="000000"/>
              </w:rPr>
            </w:pPr>
            <w:proofErr w:type="spellStart"/>
            <w:r>
              <w:rPr>
                <w:rFonts w:ascii="Arial" w:eastAsia="Arial" w:hAnsi="Arial" w:cs="Arial"/>
                <w:color w:val="000000"/>
              </w:rPr>
              <w:t>Espec</w:t>
            </w:r>
            <w:proofErr w:type="spellEnd"/>
            <w:r>
              <w:rPr>
                <w:rFonts w:ascii="Arial" w:eastAsia="Arial" w:hAnsi="Arial" w:cs="Arial"/>
                <w:color w:val="000000"/>
              </w:rPr>
              <w:t>. cód. UNESCO</w:t>
            </w:r>
          </w:p>
        </w:tc>
        <w:tc>
          <w:tcPr>
            <w:tcW w:w="6701" w:type="dxa"/>
            <w:gridSpan w:val="3"/>
            <w:tcBorders>
              <w:top w:val="single" w:sz="4" w:space="0" w:color="000000"/>
              <w:left w:val="nil"/>
              <w:bottom w:val="single" w:sz="4" w:space="0" w:color="000000"/>
              <w:right w:val="single" w:sz="4" w:space="0" w:color="000000"/>
            </w:tcBorders>
            <w:vAlign w:val="center"/>
          </w:tcPr>
          <w:p w14:paraId="490716AE" w14:textId="77777777" w:rsidR="008322BC" w:rsidRDefault="006265D5">
            <w:pPr>
              <w:spacing w:after="0" w:line="240" w:lineRule="auto"/>
              <w:ind w:left="0" w:hanging="2"/>
              <w:jc w:val="center"/>
              <w:rPr>
                <w:rFonts w:ascii="Arial" w:eastAsia="Arial" w:hAnsi="Arial" w:cs="Arial"/>
                <w:color w:val="000000"/>
              </w:rPr>
            </w:pPr>
            <w:r>
              <w:rPr>
                <w:rFonts w:ascii="Arial" w:eastAsia="Arial" w:hAnsi="Arial" w:cs="Arial"/>
              </w:rPr>
              <w:t>720505</w:t>
            </w:r>
            <w:r>
              <w:rPr>
                <w:rFonts w:ascii="Arial" w:eastAsia="Arial" w:hAnsi="Arial" w:cs="Arial"/>
              </w:rPr>
              <w:tab/>
            </w:r>
            <w:proofErr w:type="gramStart"/>
            <w:r>
              <w:rPr>
                <w:rFonts w:ascii="Arial" w:eastAsia="Arial" w:hAnsi="Arial" w:cs="Arial"/>
              </w:rPr>
              <w:t>Filosofía</w:t>
            </w:r>
            <w:proofErr w:type="gramEnd"/>
            <w:r>
              <w:rPr>
                <w:rFonts w:ascii="Arial" w:eastAsia="Arial" w:hAnsi="Arial" w:cs="Arial"/>
              </w:rPr>
              <w:t xml:space="preserve"> de las Ciencias Sociales</w:t>
            </w:r>
          </w:p>
        </w:tc>
      </w:tr>
      <w:tr w:rsidR="008322BC" w14:paraId="0E99C3C7" w14:textId="77777777">
        <w:trPr>
          <w:trHeight w:val="20"/>
        </w:trPr>
        <w:tc>
          <w:tcPr>
            <w:tcW w:w="2386" w:type="dxa"/>
            <w:tcBorders>
              <w:top w:val="nil"/>
              <w:left w:val="single" w:sz="4" w:space="0" w:color="000000"/>
              <w:bottom w:val="single" w:sz="4" w:space="0" w:color="000000"/>
              <w:right w:val="single" w:sz="4" w:space="0" w:color="000000"/>
            </w:tcBorders>
            <w:vAlign w:val="center"/>
          </w:tcPr>
          <w:p w14:paraId="3BAD9DB4" w14:textId="77777777" w:rsidR="008322BC" w:rsidRDefault="006265D5">
            <w:pPr>
              <w:spacing w:after="0" w:line="240" w:lineRule="auto"/>
              <w:ind w:left="0" w:hanging="2"/>
              <w:rPr>
                <w:rFonts w:ascii="Arial" w:eastAsia="Arial" w:hAnsi="Arial" w:cs="Arial"/>
                <w:color w:val="000000"/>
              </w:rPr>
            </w:pPr>
            <w:r>
              <w:rPr>
                <w:rFonts w:ascii="Arial" w:eastAsia="Arial" w:hAnsi="Arial" w:cs="Arial"/>
                <w:color w:val="000000"/>
              </w:rPr>
              <w:t>Palabras clave</w:t>
            </w:r>
          </w:p>
        </w:tc>
        <w:tc>
          <w:tcPr>
            <w:tcW w:w="6701" w:type="dxa"/>
            <w:gridSpan w:val="3"/>
            <w:tcBorders>
              <w:top w:val="single" w:sz="4" w:space="0" w:color="000000"/>
              <w:left w:val="nil"/>
              <w:bottom w:val="single" w:sz="4" w:space="0" w:color="000000"/>
              <w:right w:val="single" w:sz="4" w:space="0" w:color="000000"/>
            </w:tcBorders>
            <w:vAlign w:val="center"/>
          </w:tcPr>
          <w:p w14:paraId="0E87E646" w14:textId="77777777" w:rsidR="008322BC" w:rsidRDefault="006265D5">
            <w:pPr>
              <w:spacing w:after="0" w:line="240" w:lineRule="auto"/>
              <w:ind w:left="0" w:hanging="2"/>
              <w:jc w:val="center"/>
              <w:rPr>
                <w:rFonts w:ascii="Arial" w:eastAsia="Arial" w:hAnsi="Arial" w:cs="Arial"/>
                <w:color w:val="000000"/>
              </w:rPr>
            </w:pPr>
            <w:r>
              <w:rPr>
                <w:rFonts w:ascii="Arial" w:eastAsia="Arial" w:hAnsi="Arial" w:cs="Arial"/>
              </w:rPr>
              <w:t>Políticas Públicas, Comportamiento, Racionalidad Acotada</w:t>
            </w:r>
            <w:r>
              <w:rPr>
                <w:rFonts w:ascii="Arial" w:eastAsia="Arial" w:hAnsi="Arial" w:cs="Arial"/>
                <w:color w:val="000000"/>
              </w:rPr>
              <w:t> </w:t>
            </w:r>
          </w:p>
        </w:tc>
      </w:tr>
    </w:tbl>
    <w:p w14:paraId="3BF8738C" w14:textId="77777777" w:rsidR="008322BC" w:rsidRDefault="008322BC">
      <w:pPr>
        <w:spacing w:after="0" w:line="240" w:lineRule="auto"/>
        <w:ind w:left="0" w:hanging="2"/>
        <w:rPr>
          <w:rFonts w:ascii="Arial" w:eastAsia="Arial" w:hAnsi="Arial" w:cs="Arial"/>
        </w:rPr>
      </w:pPr>
    </w:p>
    <w:p w14:paraId="45759BEC" w14:textId="77777777" w:rsidR="008322BC" w:rsidRDefault="006265D5">
      <w:pPr>
        <w:spacing w:after="0" w:line="240" w:lineRule="auto"/>
        <w:ind w:left="0" w:hanging="2"/>
        <w:rPr>
          <w:rFonts w:ascii="Arial" w:eastAsia="Arial" w:hAnsi="Arial" w:cs="Arial"/>
        </w:rPr>
      </w:pPr>
      <w:r>
        <w:rPr>
          <w:rFonts w:ascii="Arial" w:eastAsia="Arial" w:hAnsi="Arial" w:cs="Arial"/>
          <w:b/>
        </w:rPr>
        <w:t xml:space="preserve">A.2. Formación académica </w:t>
      </w:r>
      <w:r>
        <w:rPr>
          <w:rFonts w:ascii="Arial" w:eastAsia="Arial" w:hAnsi="Arial" w:cs="Arial"/>
          <w:i/>
        </w:rPr>
        <w:t>(título, institución, fecha)</w:t>
      </w:r>
    </w:p>
    <w:tbl>
      <w:tblPr>
        <w:tblStyle w:val="a2"/>
        <w:tblW w:w="9087" w:type="dxa"/>
        <w:tblInd w:w="55" w:type="dxa"/>
        <w:tblLayout w:type="fixed"/>
        <w:tblLook w:val="0000" w:firstRow="0" w:lastRow="0" w:firstColumn="0" w:lastColumn="0" w:noHBand="0" w:noVBand="0"/>
      </w:tblPr>
      <w:tblGrid>
        <w:gridCol w:w="3134"/>
        <w:gridCol w:w="4678"/>
        <w:gridCol w:w="1275"/>
      </w:tblGrid>
      <w:tr w:rsidR="008322BC" w14:paraId="52BFF6F1" w14:textId="77777777">
        <w:trPr>
          <w:trHeight w:val="20"/>
        </w:trPr>
        <w:tc>
          <w:tcPr>
            <w:tcW w:w="3134" w:type="dxa"/>
            <w:tcBorders>
              <w:top w:val="single" w:sz="4" w:space="0" w:color="000000"/>
              <w:left w:val="single" w:sz="4" w:space="0" w:color="000000"/>
              <w:bottom w:val="single" w:sz="4" w:space="0" w:color="000000"/>
              <w:right w:val="single" w:sz="4" w:space="0" w:color="000000"/>
            </w:tcBorders>
            <w:vAlign w:val="center"/>
          </w:tcPr>
          <w:p w14:paraId="4BEB9350" w14:textId="77777777" w:rsidR="008322BC" w:rsidRDefault="006265D5">
            <w:pPr>
              <w:spacing w:after="0" w:line="240" w:lineRule="auto"/>
              <w:ind w:left="0" w:hanging="2"/>
              <w:jc w:val="center"/>
              <w:rPr>
                <w:rFonts w:ascii="Arial" w:eastAsia="Arial" w:hAnsi="Arial" w:cs="Arial"/>
                <w:color w:val="000000"/>
              </w:rPr>
            </w:pPr>
            <w:r>
              <w:rPr>
                <w:rFonts w:ascii="Arial" w:eastAsia="Arial" w:hAnsi="Arial" w:cs="Arial"/>
                <w:color w:val="000000"/>
              </w:rPr>
              <w:t>Licenciatura/Grado/Doctorado</w:t>
            </w:r>
          </w:p>
        </w:tc>
        <w:tc>
          <w:tcPr>
            <w:tcW w:w="4678" w:type="dxa"/>
            <w:tcBorders>
              <w:top w:val="single" w:sz="4" w:space="0" w:color="000000"/>
              <w:left w:val="nil"/>
              <w:bottom w:val="single" w:sz="4" w:space="0" w:color="000000"/>
              <w:right w:val="single" w:sz="4" w:space="0" w:color="000000"/>
            </w:tcBorders>
            <w:vAlign w:val="center"/>
          </w:tcPr>
          <w:p w14:paraId="277F3117" w14:textId="77777777" w:rsidR="008322BC" w:rsidRDefault="006265D5">
            <w:pPr>
              <w:spacing w:after="0" w:line="240" w:lineRule="auto"/>
              <w:ind w:left="0" w:hanging="2"/>
              <w:jc w:val="center"/>
              <w:rPr>
                <w:rFonts w:ascii="Arial" w:eastAsia="Arial" w:hAnsi="Arial" w:cs="Arial"/>
                <w:color w:val="000000"/>
              </w:rPr>
            </w:pPr>
            <w:r>
              <w:rPr>
                <w:rFonts w:ascii="Arial" w:eastAsia="Arial" w:hAnsi="Arial" w:cs="Arial"/>
                <w:color w:val="000000"/>
              </w:rPr>
              <w:t>Universidad</w:t>
            </w:r>
          </w:p>
        </w:tc>
        <w:tc>
          <w:tcPr>
            <w:tcW w:w="1275" w:type="dxa"/>
            <w:tcBorders>
              <w:top w:val="single" w:sz="4" w:space="0" w:color="000000"/>
              <w:left w:val="nil"/>
              <w:bottom w:val="single" w:sz="4" w:space="0" w:color="000000"/>
              <w:right w:val="single" w:sz="4" w:space="0" w:color="000000"/>
            </w:tcBorders>
            <w:vAlign w:val="center"/>
          </w:tcPr>
          <w:p w14:paraId="558B0EB4" w14:textId="77777777" w:rsidR="008322BC" w:rsidRDefault="006265D5">
            <w:pPr>
              <w:spacing w:after="0" w:line="240" w:lineRule="auto"/>
              <w:ind w:left="0" w:hanging="2"/>
              <w:jc w:val="center"/>
              <w:rPr>
                <w:rFonts w:ascii="Arial" w:eastAsia="Arial" w:hAnsi="Arial" w:cs="Arial"/>
                <w:color w:val="000000"/>
              </w:rPr>
            </w:pPr>
            <w:r>
              <w:rPr>
                <w:rFonts w:ascii="Arial" w:eastAsia="Arial" w:hAnsi="Arial" w:cs="Arial"/>
                <w:color w:val="000000"/>
              </w:rPr>
              <w:t>Año</w:t>
            </w:r>
          </w:p>
        </w:tc>
      </w:tr>
      <w:tr w:rsidR="008322BC" w14:paraId="6FB26977" w14:textId="77777777">
        <w:trPr>
          <w:trHeight w:val="20"/>
        </w:trPr>
        <w:tc>
          <w:tcPr>
            <w:tcW w:w="3134" w:type="dxa"/>
            <w:tcBorders>
              <w:top w:val="nil"/>
              <w:left w:val="single" w:sz="4" w:space="0" w:color="000000"/>
              <w:bottom w:val="single" w:sz="4" w:space="0" w:color="000000"/>
              <w:right w:val="single" w:sz="4" w:space="0" w:color="000000"/>
            </w:tcBorders>
            <w:vAlign w:val="center"/>
          </w:tcPr>
          <w:p w14:paraId="29715671" w14:textId="77777777" w:rsidR="008322BC" w:rsidRDefault="006265D5">
            <w:pPr>
              <w:spacing w:after="0" w:line="240" w:lineRule="auto"/>
              <w:ind w:left="0" w:hanging="2"/>
              <w:rPr>
                <w:rFonts w:ascii="Arial" w:eastAsia="Arial" w:hAnsi="Arial" w:cs="Arial"/>
                <w:color w:val="000000"/>
              </w:rPr>
            </w:pPr>
            <w:r>
              <w:rPr>
                <w:rFonts w:ascii="Arial" w:eastAsia="Arial" w:hAnsi="Arial" w:cs="Arial"/>
              </w:rPr>
              <w:t>Doctorado</w:t>
            </w:r>
          </w:p>
        </w:tc>
        <w:tc>
          <w:tcPr>
            <w:tcW w:w="4678" w:type="dxa"/>
            <w:tcBorders>
              <w:top w:val="nil"/>
              <w:left w:val="nil"/>
              <w:bottom w:val="single" w:sz="4" w:space="0" w:color="000000"/>
              <w:right w:val="single" w:sz="4" w:space="0" w:color="000000"/>
            </w:tcBorders>
            <w:vAlign w:val="center"/>
          </w:tcPr>
          <w:p w14:paraId="7C0DED30" w14:textId="77777777" w:rsidR="008322BC" w:rsidRDefault="006265D5">
            <w:pPr>
              <w:spacing w:after="0" w:line="240" w:lineRule="auto"/>
              <w:ind w:left="0" w:hanging="2"/>
              <w:rPr>
                <w:rFonts w:ascii="Arial" w:eastAsia="Arial" w:hAnsi="Arial" w:cs="Arial"/>
                <w:color w:val="000000"/>
              </w:rPr>
            </w:pPr>
            <w:r>
              <w:rPr>
                <w:rFonts w:ascii="Arial" w:eastAsia="Arial" w:hAnsi="Arial" w:cs="Arial"/>
              </w:rPr>
              <w:t>UNED</w:t>
            </w:r>
          </w:p>
        </w:tc>
        <w:tc>
          <w:tcPr>
            <w:tcW w:w="1275" w:type="dxa"/>
            <w:tcBorders>
              <w:top w:val="nil"/>
              <w:left w:val="nil"/>
              <w:bottom w:val="single" w:sz="4" w:space="0" w:color="000000"/>
              <w:right w:val="single" w:sz="4" w:space="0" w:color="000000"/>
            </w:tcBorders>
            <w:vAlign w:val="center"/>
          </w:tcPr>
          <w:p w14:paraId="3D5136DC" w14:textId="77777777" w:rsidR="008322BC" w:rsidRDefault="006265D5">
            <w:pPr>
              <w:spacing w:after="0" w:line="240" w:lineRule="auto"/>
              <w:ind w:left="0" w:hanging="2"/>
              <w:jc w:val="center"/>
              <w:rPr>
                <w:rFonts w:ascii="Arial" w:eastAsia="Arial" w:hAnsi="Arial" w:cs="Arial"/>
                <w:color w:val="000000"/>
              </w:rPr>
            </w:pPr>
            <w:r>
              <w:rPr>
                <w:rFonts w:ascii="Arial" w:eastAsia="Arial" w:hAnsi="Arial" w:cs="Arial"/>
              </w:rPr>
              <w:t>2018</w:t>
            </w:r>
            <w:r>
              <w:rPr>
                <w:rFonts w:ascii="Arial" w:eastAsia="Arial" w:hAnsi="Arial" w:cs="Arial"/>
                <w:color w:val="000000"/>
              </w:rPr>
              <w:t> </w:t>
            </w:r>
          </w:p>
        </w:tc>
      </w:tr>
      <w:tr w:rsidR="008322BC" w14:paraId="6D9F2AAE" w14:textId="77777777">
        <w:trPr>
          <w:trHeight w:val="20"/>
        </w:trPr>
        <w:tc>
          <w:tcPr>
            <w:tcW w:w="3134" w:type="dxa"/>
            <w:tcBorders>
              <w:top w:val="nil"/>
              <w:left w:val="single" w:sz="4" w:space="0" w:color="000000"/>
              <w:bottom w:val="single" w:sz="4" w:space="0" w:color="000000"/>
              <w:right w:val="single" w:sz="4" w:space="0" w:color="000000"/>
            </w:tcBorders>
            <w:vAlign w:val="center"/>
          </w:tcPr>
          <w:p w14:paraId="2A84E860" w14:textId="77777777" w:rsidR="008322BC" w:rsidRDefault="006265D5">
            <w:pPr>
              <w:spacing w:after="0" w:line="240" w:lineRule="auto"/>
              <w:ind w:left="0" w:hanging="2"/>
              <w:rPr>
                <w:rFonts w:ascii="Arial" w:eastAsia="Arial" w:hAnsi="Arial" w:cs="Arial"/>
                <w:color w:val="000000"/>
              </w:rPr>
            </w:pPr>
            <w:r>
              <w:rPr>
                <w:rFonts w:ascii="Arial" w:eastAsia="Arial" w:hAnsi="Arial" w:cs="Arial"/>
                <w:color w:val="000000"/>
              </w:rPr>
              <w:t> Licenciado</w:t>
            </w:r>
          </w:p>
        </w:tc>
        <w:tc>
          <w:tcPr>
            <w:tcW w:w="4678" w:type="dxa"/>
            <w:tcBorders>
              <w:top w:val="nil"/>
              <w:left w:val="nil"/>
              <w:bottom w:val="single" w:sz="4" w:space="0" w:color="000000"/>
              <w:right w:val="single" w:sz="4" w:space="0" w:color="000000"/>
            </w:tcBorders>
            <w:vAlign w:val="center"/>
          </w:tcPr>
          <w:p w14:paraId="47D38550" w14:textId="77777777" w:rsidR="008322BC" w:rsidRDefault="006265D5">
            <w:pPr>
              <w:spacing w:after="0" w:line="240" w:lineRule="auto"/>
              <w:ind w:left="0" w:hanging="2"/>
              <w:rPr>
                <w:rFonts w:ascii="Arial" w:eastAsia="Arial" w:hAnsi="Arial" w:cs="Arial"/>
                <w:color w:val="000000"/>
              </w:rPr>
            </w:pPr>
            <w:r>
              <w:rPr>
                <w:rFonts w:ascii="Arial" w:eastAsia="Arial" w:hAnsi="Arial" w:cs="Arial"/>
                <w:color w:val="000000"/>
              </w:rPr>
              <w:t> Complutense</w:t>
            </w:r>
          </w:p>
        </w:tc>
        <w:tc>
          <w:tcPr>
            <w:tcW w:w="1275" w:type="dxa"/>
            <w:tcBorders>
              <w:top w:val="nil"/>
              <w:left w:val="nil"/>
              <w:bottom w:val="single" w:sz="4" w:space="0" w:color="000000"/>
              <w:right w:val="single" w:sz="4" w:space="0" w:color="000000"/>
            </w:tcBorders>
            <w:vAlign w:val="center"/>
          </w:tcPr>
          <w:p w14:paraId="18AE311F" w14:textId="77777777" w:rsidR="008322BC" w:rsidRDefault="006265D5">
            <w:pPr>
              <w:spacing w:after="0" w:line="240" w:lineRule="auto"/>
              <w:ind w:left="0" w:hanging="2"/>
              <w:jc w:val="center"/>
              <w:rPr>
                <w:rFonts w:ascii="Arial" w:eastAsia="Arial" w:hAnsi="Arial" w:cs="Arial"/>
                <w:color w:val="000000"/>
              </w:rPr>
            </w:pPr>
            <w:r>
              <w:rPr>
                <w:rFonts w:ascii="Arial" w:eastAsia="Arial" w:hAnsi="Arial" w:cs="Arial"/>
              </w:rPr>
              <w:t>2001</w:t>
            </w:r>
            <w:r>
              <w:rPr>
                <w:rFonts w:ascii="Arial" w:eastAsia="Arial" w:hAnsi="Arial" w:cs="Arial"/>
                <w:color w:val="000000"/>
              </w:rPr>
              <w:t> </w:t>
            </w:r>
          </w:p>
        </w:tc>
      </w:tr>
    </w:tbl>
    <w:p w14:paraId="0E354CCD" w14:textId="77777777" w:rsidR="008322BC" w:rsidRDefault="008322BC">
      <w:pPr>
        <w:spacing w:after="0" w:line="240" w:lineRule="auto"/>
        <w:ind w:left="0" w:hanging="2"/>
        <w:rPr>
          <w:rFonts w:ascii="Arial" w:eastAsia="Arial" w:hAnsi="Arial" w:cs="Arial"/>
        </w:rPr>
      </w:pPr>
    </w:p>
    <w:p w14:paraId="2DD0040E" w14:textId="77777777" w:rsidR="008322BC" w:rsidRDefault="006265D5">
      <w:pPr>
        <w:spacing w:after="0" w:line="240" w:lineRule="auto"/>
        <w:ind w:left="0" w:hanging="2"/>
        <w:jc w:val="both"/>
        <w:rPr>
          <w:rFonts w:ascii="Arial" w:eastAsia="Arial" w:hAnsi="Arial" w:cs="Arial"/>
          <w:i/>
        </w:rPr>
      </w:pPr>
      <w:r>
        <w:rPr>
          <w:rFonts w:ascii="Arial" w:eastAsia="Arial" w:hAnsi="Arial" w:cs="Arial"/>
          <w:b/>
        </w:rPr>
        <w:t xml:space="preserve">A.3. Indicadores generales de calidad de la producción científica </w:t>
      </w:r>
      <w:r>
        <w:rPr>
          <w:rFonts w:ascii="Arial" w:eastAsia="Arial" w:hAnsi="Arial" w:cs="Arial"/>
          <w:i/>
        </w:rPr>
        <w:t>(véanse instrucciones)</w:t>
      </w:r>
    </w:p>
    <w:p w14:paraId="20384DAD" w14:textId="77777777" w:rsidR="008322BC" w:rsidRDefault="006265D5">
      <w:pPr>
        <w:spacing w:after="0" w:line="240" w:lineRule="auto"/>
        <w:ind w:left="0" w:hanging="2"/>
        <w:jc w:val="both"/>
        <w:rPr>
          <w:rFonts w:ascii="Arial" w:eastAsia="Arial" w:hAnsi="Arial" w:cs="Arial"/>
          <w:b/>
        </w:rPr>
      </w:pPr>
      <w:r>
        <w:rPr>
          <w:rFonts w:ascii="Arial" w:eastAsia="Arial" w:hAnsi="Arial" w:cs="Arial"/>
        </w:rPr>
        <w:t xml:space="preserve">Número de sexenios de investigación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b/>
        </w:rPr>
        <w:t>N/A</w:t>
      </w:r>
    </w:p>
    <w:p w14:paraId="2B08AF5B" w14:textId="77777777" w:rsidR="008322BC" w:rsidRDefault="006265D5">
      <w:pPr>
        <w:spacing w:after="0" w:line="240" w:lineRule="auto"/>
        <w:ind w:left="0" w:hanging="2"/>
        <w:jc w:val="both"/>
        <w:rPr>
          <w:rFonts w:ascii="Arial" w:eastAsia="Arial" w:hAnsi="Arial" w:cs="Arial"/>
        </w:rPr>
      </w:pPr>
      <w:r>
        <w:rPr>
          <w:rFonts w:ascii="Arial" w:eastAsia="Arial" w:hAnsi="Arial" w:cs="Arial"/>
        </w:rPr>
        <w:t xml:space="preserve">Fecha del último concedido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b/>
        </w:rPr>
        <w:t>N/A</w:t>
      </w:r>
    </w:p>
    <w:p w14:paraId="073BF0CE" w14:textId="77777777" w:rsidR="008322BC" w:rsidRDefault="006265D5">
      <w:pPr>
        <w:spacing w:after="0" w:line="240" w:lineRule="auto"/>
        <w:ind w:left="0" w:hanging="2"/>
        <w:jc w:val="both"/>
        <w:rPr>
          <w:rFonts w:ascii="Arial" w:eastAsia="Arial" w:hAnsi="Arial" w:cs="Arial"/>
        </w:rPr>
      </w:pPr>
      <w:r>
        <w:rPr>
          <w:rFonts w:ascii="Arial" w:eastAsia="Arial" w:hAnsi="Arial" w:cs="Arial"/>
        </w:rPr>
        <w:t xml:space="preserve">Número de tesis doctorales dirigidas en los últimos 10 </w:t>
      </w:r>
      <w:proofErr w:type="gramStart"/>
      <w:r>
        <w:rPr>
          <w:rFonts w:ascii="Arial" w:eastAsia="Arial" w:hAnsi="Arial" w:cs="Arial"/>
        </w:rPr>
        <w:t xml:space="preserve">años  </w:t>
      </w:r>
      <w:r>
        <w:rPr>
          <w:rFonts w:ascii="Arial" w:eastAsia="Arial" w:hAnsi="Arial" w:cs="Arial"/>
        </w:rPr>
        <w:tab/>
      </w:r>
      <w:proofErr w:type="gramEnd"/>
      <w:r>
        <w:rPr>
          <w:rFonts w:ascii="Arial" w:eastAsia="Arial" w:hAnsi="Arial" w:cs="Arial"/>
          <w:b/>
        </w:rPr>
        <w:t>N/A</w:t>
      </w:r>
    </w:p>
    <w:p w14:paraId="2191D1E6" w14:textId="77777777" w:rsidR="008322BC" w:rsidRDefault="006265D5">
      <w:pPr>
        <w:spacing w:after="0" w:line="240" w:lineRule="auto"/>
        <w:ind w:left="0" w:hanging="2"/>
        <w:jc w:val="both"/>
        <w:rPr>
          <w:rFonts w:ascii="Arial" w:eastAsia="Arial" w:hAnsi="Arial" w:cs="Arial"/>
          <w:b/>
        </w:rPr>
      </w:pPr>
      <w:r>
        <w:rPr>
          <w:rFonts w:ascii="Arial" w:eastAsia="Arial" w:hAnsi="Arial" w:cs="Arial"/>
        </w:rPr>
        <w:t>Citas totales</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b/>
        </w:rPr>
        <w:t>11</w:t>
      </w:r>
    </w:p>
    <w:p w14:paraId="722E2DD5" w14:textId="77777777" w:rsidR="008322BC" w:rsidRDefault="006265D5">
      <w:pPr>
        <w:spacing w:after="0" w:line="240" w:lineRule="auto"/>
        <w:ind w:left="0" w:hanging="2"/>
        <w:jc w:val="both"/>
        <w:rPr>
          <w:rFonts w:ascii="Arial" w:eastAsia="Arial" w:hAnsi="Arial" w:cs="Arial"/>
          <w:b/>
        </w:rPr>
      </w:pPr>
      <w:r>
        <w:rPr>
          <w:rFonts w:ascii="Arial" w:eastAsia="Arial" w:hAnsi="Arial" w:cs="Arial"/>
        </w:rPr>
        <w:t>Promedio de citas/año durante los últimos 5 años</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b/>
        </w:rPr>
        <w:t>3.6</w:t>
      </w:r>
    </w:p>
    <w:p w14:paraId="70A136F1" w14:textId="77777777" w:rsidR="008322BC" w:rsidRDefault="006265D5">
      <w:pPr>
        <w:spacing w:after="0" w:line="240" w:lineRule="auto"/>
        <w:ind w:left="0" w:hanging="2"/>
        <w:jc w:val="both"/>
        <w:rPr>
          <w:rFonts w:ascii="Arial" w:eastAsia="Arial" w:hAnsi="Arial" w:cs="Arial"/>
        </w:rPr>
      </w:pPr>
      <w:r>
        <w:rPr>
          <w:rFonts w:ascii="Arial" w:eastAsia="Arial" w:hAnsi="Arial" w:cs="Arial"/>
        </w:rPr>
        <w:t xml:space="preserve">Publicaciones totales en primer cuartil (Q1),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73C5B169" w14:textId="77777777" w:rsidR="008322BC" w:rsidRDefault="006265D5">
      <w:pPr>
        <w:spacing w:after="0" w:line="240" w:lineRule="auto"/>
        <w:ind w:left="0" w:hanging="2"/>
        <w:jc w:val="both"/>
        <w:rPr>
          <w:rFonts w:ascii="Arial" w:eastAsia="Arial" w:hAnsi="Arial" w:cs="Arial"/>
          <w:b/>
          <w:i/>
        </w:rPr>
      </w:pPr>
      <w:r>
        <w:rPr>
          <w:rFonts w:ascii="Arial" w:eastAsia="Arial" w:hAnsi="Arial" w:cs="Arial"/>
        </w:rPr>
        <w:t>índice h</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b/>
        </w:rPr>
        <w:t>2</w:t>
      </w:r>
    </w:p>
    <w:p w14:paraId="0233FEB6" w14:textId="77777777" w:rsidR="008322BC" w:rsidRDefault="008322BC">
      <w:pPr>
        <w:spacing w:after="0" w:line="240" w:lineRule="auto"/>
        <w:ind w:left="0" w:hanging="2"/>
        <w:jc w:val="both"/>
        <w:rPr>
          <w:rFonts w:ascii="Arial" w:eastAsia="Arial" w:hAnsi="Arial" w:cs="Arial"/>
        </w:rPr>
      </w:pPr>
    </w:p>
    <w:p w14:paraId="1FBF3F72" w14:textId="77777777" w:rsidR="008322BC" w:rsidRDefault="006265D5">
      <w:pPr>
        <w:spacing w:after="0" w:line="240" w:lineRule="auto"/>
        <w:ind w:left="0" w:hanging="2"/>
        <w:jc w:val="both"/>
        <w:rPr>
          <w:rFonts w:ascii="Arial" w:eastAsia="Arial" w:hAnsi="Arial" w:cs="Arial"/>
        </w:rPr>
      </w:pPr>
      <w:r>
        <w:rPr>
          <w:rFonts w:ascii="Arial" w:eastAsia="Arial" w:hAnsi="Arial" w:cs="Arial"/>
          <w:b/>
        </w:rPr>
        <w:t xml:space="preserve">Parte B. RESUMEN LIBRE DEL CURRÍCULUM </w:t>
      </w:r>
      <w:r>
        <w:rPr>
          <w:rFonts w:ascii="Arial" w:eastAsia="Arial" w:hAnsi="Arial" w:cs="Arial"/>
          <w:i/>
        </w:rPr>
        <w:t>(má</w:t>
      </w:r>
      <w:r>
        <w:rPr>
          <w:rFonts w:ascii="Arial" w:eastAsia="Arial" w:hAnsi="Arial" w:cs="Arial"/>
          <w:i/>
        </w:rPr>
        <w:t>ximo 3500 caracteres, incluyendo espacios en blanco)</w:t>
      </w:r>
    </w:p>
    <w:p w14:paraId="06F1BC28" w14:textId="77777777" w:rsidR="008322BC" w:rsidRDefault="008322BC">
      <w:pPr>
        <w:spacing w:after="0"/>
        <w:ind w:left="0" w:hanging="2"/>
        <w:rPr>
          <w:rFonts w:ascii="Times New Roman" w:eastAsia="Times New Roman" w:hAnsi="Times New Roman" w:cs="Times New Roman"/>
          <w:sz w:val="24"/>
          <w:szCs w:val="24"/>
        </w:rPr>
      </w:pPr>
    </w:p>
    <w:p w14:paraId="02CBF671" w14:textId="77777777" w:rsidR="008322BC" w:rsidRPr="006265D5" w:rsidRDefault="006265D5">
      <w:pPr>
        <w:spacing w:after="0" w:line="360" w:lineRule="auto"/>
        <w:ind w:left="0" w:hanging="2"/>
        <w:rPr>
          <w:rFonts w:ascii="Times New Roman" w:eastAsia="Times New Roman" w:hAnsi="Times New Roman" w:cs="Times New Roman"/>
          <w:sz w:val="24"/>
          <w:szCs w:val="24"/>
          <w:lang w:val="en-US"/>
        </w:rPr>
      </w:pPr>
      <w:r w:rsidRPr="006265D5">
        <w:rPr>
          <w:rFonts w:ascii="Times New Roman" w:eastAsia="Times New Roman" w:hAnsi="Times New Roman" w:cs="Times New Roman"/>
          <w:sz w:val="24"/>
          <w:szCs w:val="24"/>
          <w:lang w:val="en-US"/>
        </w:rPr>
        <w:t>I am a Senior Lecturer at the Department of Languages, Literatures, and Cultures at the University of North Carolina Greensboro with an interest in contributing to the epistemological and ethical analys</w:t>
      </w:r>
      <w:r w:rsidRPr="006265D5">
        <w:rPr>
          <w:rFonts w:ascii="Times New Roman" w:eastAsia="Times New Roman" w:hAnsi="Times New Roman" w:cs="Times New Roman"/>
          <w:sz w:val="24"/>
          <w:szCs w:val="24"/>
          <w:lang w:val="en-US"/>
        </w:rPr>
        <w:t xml:space="preserve">is of public policies as they relate to different social problems (e.g., gender violence, environmental apathy, vaccine hesitancy). My research focuses on different types of interventions (mandates, educative, based on incentives, etc.), emphasizing those </w:t>
      </w:r>
      <w:r w:rsidRPr="006265D5">
        <w:rPr>
          <w:rFonts w:ascii="Times New Roman" w:eastAsia="Times New Roman" w:hAnsi="Times New Roman" w:cs="Times New Roman"/>
          <w:sz w:val="24"/>
          <w:szCs w:val="24"/>
          <w:lang w:val="en-US"/>
        </w:rPr>
        <w:t>that rest on behavioral insights. I also aim to examine the efficiency of such interventions and the rationality debate that has generated.</w:t>
      </w:r>
    </w:p>
    <w:p w14:paraId="65BA1175" w14:textId="77777777" w:rsidR="008322BC" w:rsidRPr="006265D5" w:rsidRDefault="006265D5">
      <w:pPr>
        <w:spacing w:after="0" w:line="360" w:lineRule="auto"/>
        <w:ind w:left="0" w:hanging="2"/>
        <w:rPr>
          <w:rFonts w:ascii="Times New Roman" w:eastAsia="Times New Roman" w:hAnsi="Times New Roman" w:cs="Times New Roman"/>
          <w:sz w:val="24"/>
          <w:szCs w:val="24"/>
          <w:lang w:val="en-US"/>
        </w:rPr>
      </w:pPr>
      <w:r w:rsidRPr="006265D5">
        <w:rPr>
          <w:rFonts w:ascii="Times New Roman" w:eastAsia="Times New Roman" w:hAnsi="Times New Roman" w:cs="Times New Roman"/>
          <w:sz w:val="24"/>
          <w:szCs w:val="24"/>
          <w:lang w:val="en-US"/>
        </w:rPr>
        <w:t>I currently have a research article under review where I show that although vaccines are considered by medical exper</w:t>
      </w:r>
      <w:r w:rsidRPr="006265D5">
        <w:rPr>
          <w:rFonts w:ascii="Times New Roman" w:eastAsia="Times New Roman" w:hAnsi="Times New Roman" w:cs="Times New Roman"/>
          <w:sz w:val="24"/>
          <w:szCs w:val="24"/>
          <w:lang w:val="en-US"/>
        </w:rPr>
        <w:t>ts an effective public health tool, people’s confidence in them has been decreasing. Even if COVID-19 has elevated the social reputation of medical scientists and practitioners, and it may have reduced global vaccination hesitancy, this alone will not be a</w:t>
      </w:r>
      <w:r w:rsidRPr="006265D5">
        <w:rPr>
          <w:rFonts w:ascii="Times New Roman" w:eastAsia="Times New Roman" w:hAnsi="Times New Roman" w:cs="Times New Roman"/>
          <w:sz w:val="24"/>
          <w:szCs w:val="24"/>
          <w:lang w:val="en-US"/>
        </w:rPr>
        <w:t xml:space="preserve">ble to remove altogether the existent digital, structural, and psychological frictions that prevent people from complying with vaccination schedules. This research examines public </w:t>
      </w:r>
      <w:r w:rsidRPr="006265D5">
        <w:rPr>
          <w:rFonts w:ascii="Times New Roman" w:eastAsia="Times New Roman" w:hAnsi="Times New Roman" w:cs="Times New Roman"/>
          <w:sz w:val="24"/>
          <w:szCs w:val="24"/>
          <w:lang w:val="en-US"/>
        </w:rPr>
        <w:lastRenderedPageBreak/>
        <w:t>health specialists’ response to these challenges while proposing a set of be</w:t>
      </w:r>
      <w:r w:rsidRPr="006265D5">
        <w:rPr>
          <w:rFonts w:ascii="Times New Roman" w:eastAsia="Times New Roman" w:hAnsi="Times New Roman" w:cs="Times New Roman"/>
          <w:sz w:val="24"/>
          <w:szCs w:val="24"/>
          <w:lang w:val="en-US"/>
        </w:rPr>
        <w:t>havioral interventions (e.g., nudges, boosts, etc.) that may increase people’s confidence and compliance in vaccines with low political and ethical costs. I find that nudges are efficient tools that public policy experts can use without compromising ethica</w:t>
      </w:r>
      <w:r w:rsidRPr="006265D5">
        <w:rPr>
          <w:rFonts w:ascii="Times New Roman" w:eastAsia="Times New Roman" w:hAnsi="Times New Roman" w:cs="Times New Roman"/>
          <w:sz w:val="24"/>
          <w:szCs w:val="24"/>
          <w:lang w:val="en-US"/>
        </w:rPr>
        <w:t>lly or politically. Still, they must work in conjunction with other classical interventions (educative, regulatory, etc.) to ensure that political and ethical low cost without losing efficiency.</w:t>
      </w:r>
    </w:p>
    <w:p w14:paraId="2E3CAF7E" w14:textId="77777777" w:rsidR="008322BC" w:rsidRPr="006265D5" w:rsidRDefault="006265D5">
      <w:pPr>
        <w:spacing w:after="0" w:line="360" w:lineRule="auto"/>
        <w:ind w:left="0" w:hanging="2"/>
        <w:rPr>
          <w:rFonts w:ascii="Times New Roman" w:eastAsia="Times New Roman" w:hAnsi="Times New Roman" w:cs="Times New Roman"/>
          <w:sz w:val="24"/>
          <w:szCs w:val="24"/>
          <w:lang w:val="en-US"/>
        </w:rPr>
      </w:pPr>
      <w:r w:rsidRPr="006265D5">
        <w:rPr>
          <w:rFonts w:ascii="Times New Roman" w:eastAsia="Times New Roman" w:hAnsi="Times New Roman" w:cs="Times New Roman"/>
          <w:sz w:val="24"/>
          <w:szCs w:val="24"/>
          <w:lang w:val="en-US"/>
        </w:rPr>
        <w:t>In March of 2020, I was hired as an expert consultant by Glax</w:t>
      </w:r>
      <w:r w:rsidRPr="006265D5">
        <w:rPr>
          <w:rFonts w:ascii="Times New Roman" w:eastAsia="Times New Roman" w:hAnsi="Times New Roman" w:cs="Times New Roman"/>
          <w:sz w:val="24"/>
          <w:szCs w:val="24"/>
          <w:lang w:val="en-US"/>
        </w:rPr>
        <w:t xml:space="preserve">oSmithKline to become a panel member that explores possible interventions to reduce vaccine hesitancy worldwide. The panel frequently met for several weeks. </w:t>
      </w:r>
    </w:p>
    <w:p w14:paraId="69253429" w14:textId="77777777" w:rsidR="008322BC" w:rsidRPr="006265D5" w:rsidRDefault="006265D5">
      <w:pPr>
        <w:spacing w:after="0" w:line="360" w:lineRule="auto"/>
        <w:ind w:left="0" w:hanging="2"/>
        <w:rPr>
          <w:rFonts w:ascii="Times New Roman" w:eastAsia="Times New Roman" w:hAnsi="Times New Roman" w:cs="Times New Roman"/>
          <w:sz w:val="24"/>
          <w:szCs w:val="24"/>
          <w:lang w:val="en-US"/>
        </w:rPr>
      </w:pPr>
      <w:r w:rsidRPr="006265D5">
        <w:rPr>
          <w:rFonts w:ascii="Times New Roman" w:eastAsia="Times New Roman" w:hAnsi="Times New Roman" w:cs="Times New Roman"/>
          <w:sz w:val="24"/>
          <w:szCs w:val="24"/>
          <w:lang w:val="en-US"/>
        </w:rPr>
        <w:t xml:space="preserve">I am also researching how public policies based on nudges use randomized control trials (RCTs) to </w:t>
      </w:r>
      <w:r w:rsidRPr="006265D5">
        <w:rPr>
          <w:rFonts w:ascii="Times New Roman" w:eastAsia="Times New Roman" w:hAnsi="Times New Roman" w:cs="Times New Roman"/>
          <w:sz w:val="24"/>
          <w:szCs w:val="24"/>
          <w:lang w:val="en-US"/>
        </w:rPr>
        <w:t>establish what works. Most of the RCTs related to nudges are done online (Amazon Mechanical Turk). In a forthcoming article (Behavioral Public policy Journal), I argue that RCTs cannot be the only research instrument they use since they themselves cannot w</w:t>
      </w:r>
      <w:r w:rsidRPr="006265D5">
        <w:rPr>
          <w:rFonts w:ascii="Times New Roman" w:eastAsia="Times New Roman" w:hAnsi="Times New Roman" w:cs="Times New Roman"/>
          <w:sz w:val="24"/>
          <w:szCs w:val="24"/>
          <w:lang w:val="en-US"/>
        </w:rPr>
        <w:t xml:space="preserve">arrant that the policy will work in a different setting. Drawing from Nancy Cartwright’s research, I claim that they should also use horizontal and vertical searches to find support factors and causal principles that help explain how those policies work. </w:t>
      </w:r>
    </w:p>
    <w:p w14:paraId="534EFC5C" w14:textId="77777777" w:rsidR="008322BC" w:rsidRPr="006265D5" w:rsidRDefault="006265D5">
      <w:pPr>
        <w:spacing w:after="0" w:line="360" w:lineRule="auto"/>
        <w:ind w:left="0" w:hanging="2"/>
        <w:rPr>
          <w:rFonts w:ascii="Times New Roman" w:eastAsia="Times New Roman" w:hAnsi="Times New Roman" w:cs="Times New Roman"/>
          <w:sz w:val="24"/>
          <w:szCs w:val="24"/>
          <w:lang w:val="en-US"/>
        </w:rPr>
      </w:pPr>
      <w:r w:rsidRPr="006265D5">
        <w:rPr>
          <w:rFonts w:ascii="Times New Roman" w:eastAsia="Times New Roman" w:hAnsi="Times New Roman" w:cs="Times New Roman"/>
          <w:sz w:val="24"/>
          <w:szCs w:val="24"/>
          <w:lang w:val="en-US"/>
        </w:rPr>
        <w:t>For the last two years, I have been participating (sometimes as a coordinator) in the Evolutionary Behavioral Economics and Public Policy track of the summer program at the Center for Behavioral Experiments (CEBEX) in Prague.</w:t>
      </w:r>
    </w:p>
    <w:p w14:paraId="18342BBE" w14:textId="77777777" w:rsidR="008322BC" w:rsidRPr="006265D5" w:rsidRDefault="006265D5">
      <w:pPr>
        <w:spacing w:after="0" w:line="360" w:lineRule="auto"/>
        <w:ind w:left="0" w:hanging="2"/>
        <w:rPr>
          <w:rFonts w:ascii="Times New Roman" w:eastAsia="Times New Roman" w:hAnsi="Times New Roman" w:cs="Times New Roman"/>
          <w:sz w:val="24"/>
          <w:szCs w:val="24"/>
          <w:lang w:val="en-US"/>
        </w:rPr>
      </w:pPr>
      <w:r w:rsidRPr="006265D5">
        <w:rPr>
          <w:rFonts w:ascii="Times New Roman" w:eastAsia="Times New Roman" w:hAnsi="Times New Roman" w:cs="Times New Roman"/>
          <w:sz w:val="24"/>
          <w:szCs w:val="24"/>
          <w:lang w:val="en-US"/>
        </w:rPr>
        <w:t>My future work will be devoted</w:t>
      </w:r>
      <w:r w:rsidRPr="006265D5">
        <w:rPr>
          <w:rFonts w:ascii="Times New Roman" w:eastAsia="Times New Roman" w:hAnsi="Times New Roman" w:cs="Times New Roman"/>
          <w:sz w:val="24"/>
          <w:szCs w:val="24"/>
          <w:lang w:val="en-US"/>
        </w:rPr>
        <w:t xml:space="preserve"> to the ethical and epistemological analysis of policies and interventions deployed by experts to tackle various social problems: from gender violence to vaccine hesitancy. The objective is also to examine decision theory issues, bounded rationality, confi</w:t>
      </w:r>
      <w:r w:rsidRPr="006265D5">
        <w:rPr>
          <w:rFonts w:ascii="Times New Roman" w:eastAsia="Times New Roman" w:hAnsi="Times New Roman" w:cs="Times New Roman"/>
          <w:sz w:val="24"/>
          <w:szCs w:val="24"/>
          <w:lang w:val="en-US"/>
        </w:rPr>
        <w:t>dence, and political costs.</w:t>
      </w:r>
    </w:p>
    <w:p w14:paraId="247ED518" w14:textId="77777777" w:rsidR="008322BC" w:rsidRPr="006265D5" w:rsidRDefault="008322BC">
      <w:pPr>
        <w:spacing w:after="0"/>
        <w:ind w:left="0" w:hanging="2"/>
        <w:rPr>
          <w:rFonts w:ascii="Times New Roman" w:eastAsia="Times New Roman" w:hAnsi="Times New Roman" w:cs="Times New Roman"/>
          <w:sz w:val="24"/>
          <w:szCs w:val="24"/>
          <w:lang w:val="en-US"/>
        </w:rPr>
      </w:pPr>
    </w:p>
    <w:p w14:paraId="30C1AE9F" w14:textId="77777777" w:rsidR="008322BC" w:rsidRPr="006265D5" w:rsidRDefault="008322BC">
      <w:pPr>
        <w:spacing w:after="0" w:line="240" w:lineRule="auto"/>
        <w:ind w:left="0" w:hanging="2"/>
        <w:jc w:val="both"/>
        <w:rPr>
          <w:rFonts w:ascii="Arial" w:eastAsia="Arial" w:hAnsi="Arial" w:cs="Arial"/>
          <w:lang w:val="en-US"/>
        </w:rPr>
      </w:pPr>
    </w:p>
    <w:p w14:paraId="1154C662" w14:textId="77777777" w:rsidR="008322BC" w:rsidRDefault="006265D5">
      <w:pPr>
        <w:spacing w:after="0" w:line="240" w:lineRule="auto"/>
        <w:ind w:left="0" w:hanging="2"/>
        <w:jc w:val="both"/>
        <w:rPr>
          <w:rFonts w:ascii="Arial" w:eastAsia="Arial" w:hAnsi="Arial" w:cs="Arial"/>
          <w:color w:val="A6A6A6"/>
        </w:rPr>
      </w:pPr>
      <w:r>
        <w:rPr>
          <w:rFonts w:ascii="Arial" w:eastAsia="Arial" w:hAnsi="Arial" w:cs="Arial"/>
          <w:b/>
        </w:rPr>
        <w:t xml:space="preserve">Parte C. MÉRITOS MÁS RELEVANTES </w:t>
      </w:r>
      <w:r>
        <w:rPr>
          <w:rFonts w:ascii="Arial" w:eastAsia="Arial" w:hAnsi="Arial" w:cs="Arial"/>
          <w:i/>
        </w:rPr>
        <w:t>(ordenados por tipología)</w:t>
      </w:r>
    </w:p>
    <w:p w14:paraId="7C4B4F0D" w14:textId="77777777" w:rsidR="008322BC" w:rsidRDefault="008322BC">
      <w:pPr>
        <w:spacing w:after="0" w:line="240" w:lineRule="auto"/>
        <w:ind w:left="0" w:hanging="2"/>
        <w:jc w:val="both"/>
        <w:rPr>
          <w:rFonts w:ascii="Arial" w:eastAsia="Arial" w:hAnsi="Arial" w:cs="Arial"/>
          <w:color w:val="000000"/>
        </w:rPr>
      </w:pPr>
    </w:p>
    <w:p w14:paraId="7024A16D" w14:textId="77777777" w:rsidR="008322BC" w:rsidRPr="006265D5" w:rsidRDefault="006265D5">
      <w:pPr>
        <w:spacing w:after="0" w:line="240" w:lineRule="auto"/>
        <w:ind w:left="0" w:hanging="2"/>
        <w:jc w:val="both"/>
        <w:rPr>
          <w:rFonts w:ascii="Arial" w:eastAsia="Arial" w:hAnsi="Arial" w:cs="Arial"/>
          <w:b/>
          <w:color w:val="000000"/>
          <w:lang w:val="en-US"/>
        </w:rPr>
      </w:pPr>
      <w:r w:rsidRPr="006265D5">
        <w:rPr>
          <w:rFonts w:ascii="Arial" w:eastAsia="Arial" w:hAnsi="Arial" w:cs="Arial"/>
          <w:b/>
          <w:color w:val="000000"/>
          <w:lang w:val="en-US"/>
        </w:rPr>
        <w:t>C.1. Publicaciones</w:t>
      </w:r>
    </w:p>
    <w:p w14:paraId="4851CE9B" w14:textId="77777777" w:rsidR="008322BC" w:rsidRPr="006265D5" w:rsidRDefault="006265D5">
      <w:pPr>
        <w:widowControl w:val="0"/>
        <w:spacing w:after="0"/>
        <w:ind w:left="0" w:right="140" w:hanging="2"/>
        <w:rPr>
          <w:rFonts w:ascii="Times New Roman" w:eastAsia="Times New Roman" w:hAnsi="Times New Roman" w:cs="Times New Roman"/>
          <w:sz w:val="24"/>
          <w:szCs w:val="24"/>
          <w:lang w:val="en-US"/>
        </w:rPr>
      </w:pPr>
      <w:r w:rsidRPr="006265D5">
        <w:rPr>
          <w:rFonts w:ascii="Times New Roman" w:eastAsia="Times New Roman" w:hAnsi="Times New Roman" w:cs="Times New Roman"/>
          <w:sz w:val="24"/>
          <w:szCs w:val="24"/>
          <w:lang w:val="en-US"/>
        </w:rPr>
        <w:t xml:space="preserve">Under Review. </w:t>
      </w:r>
      <w:r w:rsidRPr="006265D5">
        <w:rPr>
          <w:rFonts w:ascii="Times New Roman" w:eastAsia="Times New Roman" w:hAnsi="Times New Roman" w:cs="Times New Roman"/>
          <w:i/>
          <w:sz w:val="24"/>
          <w:szCs w:val="24"/>
          <w:lang w:val="en-US"/>
        </w:rPr>
        <w:t>Biases and Frictions in Immunization: A Philosophical Approach to Vaccine Hesitancy and Public Health</w:t>
      </w:r>
      <w:r w:rsidRPr="006265D5">
        <w:rPr>
          <w:rFonts w:ascii="Times New Roman" w:eastAsia="Times New Roman" w:hAnsi="Times New Roman" w:cs="Times New Roman"/>
          <w:sz w:val="24"/>
          <w:szCs w:val="24"/>
          <w:lang w:val="en-US"/>
        </w:rPr>
        <w:t>, Public Health Ethics. Oxford University Press.</w:t>
      </w:r>
    </w:p>
    <w:p w14:paraId="056FDB77" w14:textId="77777777" w:rsidR="008322BC" w:rsidRPr="006265D5" w:rsidRDefault="008322BC">
      <w:pPr>
        <w:widowControl w:val="0"/>
        <w:spacing w:after="0"/>
        <w:ind w:left="0" w:right="140" w:hanging="2"/>
        <w:rPr>
          <w:rFonts w:ascii="Times New Roman" w:eastAsia="Times New Roman" w:hAnsi="Times New Roman" w:cs="Times New Roman"/>
          <w:sz w:val="24"/>
          <w:szCs w:val="24"/>
          <w:lang w:val="en-US"/>
        </w:rPr>
      </w:pPr>
    </w:p>
    <w:p w14:paraId="2F431ED3" w14:textId="77777777" w:rsidR="008322BC" w:rsidRPr="006265D5" w:rsidRDefault="006265D5">
      <w:pPr>
        <w:widowControl w:val="0"/>
        <w:spacing w:after="0"/>
        <w:ind w:left="0" w:right="140" w:hanging="2"/>
        <w:rPr>
          <w:rFonts w:ascii="Times New Roman" w:eastAsia="Times New Roman" w:hAnsi="Times New Roman" w:cs="Times New Roman"/>
          <w:sz w:val="24"/>
          <w:szCs w:val="24"/>
          <w:lang w:val="en-US"/>
        </w:rPr>
      </w:pPr>
      <w:r w:rsidRPr="006265D5">
        <w:rPr>
          <w:rFonts w:ascii="Times New Roman" w:eastAsia="Times New Roman" w:hAnsi="Times New Roman" w:cs="Times New Roman"/>
          <w:sz w:val="24"/>
          <w:szCs w:val="24"/>
          <w:lang w:val="en-US"/>
        </w:rPr>
        <w:t xml:space="preserve">Forthcoming. 2021, </w:t>
      </w:r>
      <w:r w:rsidRPr="006265D5">
        <w:rPr>
          <w:rFonts w:ascii="Times New Roman" w:eastAsia="Times New Roman" w:hAnsi="Times New Roman" w:cs="Times New Roman"/>
          <w:i/>
          <w:sz w:val="24"/>
          <w:szCs w:val="24"/>
          <w:lang w:val="en-US"/>
        </w:rPr>
        <w:t>Nancy Cartwright, Evidence-Based Policies, and Nudge Theory: A Search for Causal Princ</w:t>
      </w:r>
      <w:r w:rsidRPr="006265D5">
        <w:rPr>
          <w:rFonts w:ascii="Times New Roman" w:eastAsia="Times New Roman" w:hAnsi="Times New Roman" w:cs="Times New Roman"/>
          <w:i/>
          <w:sz w:val="24"/>
          <w:szCs w:val="24"/>
          <w:lang w:val="en-US"/>
        </w:rPr>
        <w:t>iples</w:t>
      </w:r>
      <w:r w:rsidRPr="006265D5">
        <w:rPr>
          <w:rFonts w:ascii="Times New Roman" w:eastAsia="Times New Roman" w:hAnsi="Times New Roman" w:cs="Times New Roman"/>
          <w:sz w:val="24"/>
          <w:szCs w:val="24"/>
          <w:lang w:val="en-US"/>
        </w:rPr>
        <w:t>. Behavioral Public Policy. Cambridge University Press.</w:t>
      </w:r>
    </w:p>
    <w:p w14:paraId="3D026024" w14:textId="77777777" w:rsidR="008322BC" w:rsidRPr="006265D5" w:rsidRDefault="008322BC">
      <w:pPr>
        <w:widowControl w:val="0"/>
        <w:spacing w:after="0"/>
        <w:ind w:left="0" w:right="140" w:hanging="2"/>
        <w:rPr>
          <w:rFonts w:ascii="Times New Roman" w:eastAsia="Times New Roman" w:hAnsi="Times New Roman" w:cs="Times New Roman"/>
          <w:i/>
          <w:sz w:val="24"/>
          <w:szCs w:val="24"/>
          <w:lang w:val="en-US"/>
        </w:rPr>
      </w:pPr>
    </w:p>
    <w:p w14:paraId="1F2F169A" w14:textId="77777777" w:rsidR="008322BC" w:rsidRPr="006265D5" w:rsidRDefault="006265D5">
      <w:pPr>
        <w:widowControl w:val="0"/>
        <w:spacing w:after="0"/>
        <w:ind w:left="0" w:right="140" w:hanging="2"/>
        <w:rPr>
          <w:rFonts w:ascii="Times New Roman" w:eastAsia="Times New Roman" w:hAnsi="Times New Roman" w:cs="Times New Roman"/>
          <w:sz w:val="24"/>
          <w:szCs w:val="24"/>
          <w:lang w:val="en-US"/>
        </w:rPr>
      </w:pPr>
      <w:r w:rsidRPr="006265D5">
        <w:rPr>
          <w:rFonts w:ascii="Times New Roman" w:eastAsia="Times New Roman" w:hAnsi="Times New Roman" w:cs="Times New Roman"/>
          <w:sz w:val="24"/>
          <w:szCs w:val="24"/>
          <w:lang w:val="en-US"/>
        </w:rPr>
        <w:t>Forthcoming, Spring 2021.</w:t>
      </w:r>
      <w:r w:rsidRPr="006265D5">
        <w:rPr>
          <w:rFonts w:ascii="Times New Roman" w:eastAsia="Times New Roman" w:hAnsi="Times New Roman" w:cs="Times New Roman"/>
          <w:i/>
          <w:sz w:val="24"/>
          <w:szCs w:val="24"/>
          <w:lang w:val="en-US"/>
        </w:rPr>
        <w:t xml:space="preserve"> Behavioral Economics and Public Policy: Nudges, Autonomy, and Moral Responsibility. </w:t>
      </w:r>
      <w:r w:rsidRPr="006265D5">
        <w:rPr>
          <w:rFonts w:ascii="Times New Roman" w:eastAsia="Times New Roman" w:hAnsi="Times New Roman" w:cs="Times New Roman"/>
          <w:sz w:val="24"/>
          <w:szCs w:val="24"/>
          <w:lang w:val="en-US"/>
        </w:rPr>
        <w:t>Chapter for a Philosophy of Economics book coordinated by members of Center for Comp</w:t>
      </w:r>
      <w:r w:rsidRPr="006265D5">
        <w:rPr>
          <w:rFonts w:ascii="Times New Roman" w:eastAsia="Times New Roman" w:hAnsi="Times New Roman" w:cs="Times New Roman"/>
          <w:sz w:val="24"/>
          <w:szCs w:val="24"/>
          <w:lang w:val="en-US"/>
        </w:rPr>
        <w:t>lexity Sciences of the Autonomous National University of Mexico (</w:t>
      </w:r>
      <w:hyperlink r:id="rId8">
        <w:r w:rsidRPr="006265D5">
          <w:rPr>
            <w:rFonts w:ascii="Times New Roman" w:eastAsia="Times New Roman" w:hAnsi="Times New Roman" w:cs="Times New Roman"/>
            <w:sz w:val="24"/>
            <w:szCs w:val="24"/>
            <w:lang w:val="en-US"/>
          </w:rPr>
          <w:t>Universidad Nacional Autónoma de México</w:t>
        </w:r>
      </w:hyperlink>
      <w:r w:rsidRPr="006265D5">
        <w:rPr>
          <w:rFonts w:ascii="Times New Roman" w:eastAsia="Times New Roman" w:hAnsi="Times New Roman" w:cs="Times New Roman"/>
          <w:sz w:val="24"/>
          <w:szCs w:val="24"/>
          <w:lang w:val="en-US"/>
        </w:rPr>
        <w:t xml:space="preserve"> - UNAM, Mexico City, Mexico). </w:t>
      </w:r>
    </w:p>
    <w:p w14:paraId="6C82DD65" w14:textId="77777777" w:rsidR="008322BC" w:rsidRPr="006265D5" w:rsidRDefault="008322BC">
      <w:pPr>
        <w:widowControl w:val="0"/>
        <w:spacing w:after="0"/>
        <w:ind w:left="0" w:right="140" w:hanging="2"/>
        <w:rPr>
          <w:rFonts w:ascii="Times New Roman" w:eastAsia="Times New Roman" w:hAnsi="Times New Roman" w:cs="Times New Roman"/>
          <w:i/>
          <w:sz w:val="24"/>
          <w:szCs w:val="24"/>
          <w:lang w:val="en-US"/>
        </w:rPr>
      </w:pPr>
    </w:p>
    <w:p w14:paraId="73746885" w14:textId="77777777" w:rsidR="008322BC" w:rsidRDefault="006265D5">
      <w:pPr>
        <w:spacing w:after="0"/>
        <w:ind w:left="0" w:hanging="2"/>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2020. </w:t>
      </w:r>
      <w:proofErr w:type="spellStart"/>
      <w:r>
        <w:rPr>
          <w:rFonts w:ascii="Times New Roman" w:eastAsia="Times New Roman" w:hAnsi="Times New Roman" w:cs="Times New Roman"/>
          <w:i/>
          <w:sz w:val="24"/>
          <w:szCs w:val="24"/>
          <w:highlight w:val="white"/>
        </w:rPr>
        <w:t>Nudging</w:t>
      </w:r>
      <w:proofErr w:type="spellEnd"/>
      <w:r>
        <w:rPr>
          <w:rFonts w:ascii="Times New Roman" w:eastAsia="Times New Roman" w:hAnsi="Times New Roman" w:cs="Times New Roman"/>
          <w:i/>
          <w:sz w:val="24"/>
          <w:szCs w:val="24"/>
          <w:highlight w:val="white"/>
        </w:rPr>
        <w:t xml:space="preserve"> and </w:t>
      </w:r>
      <w:proofErr w:type="spellStart"/>
      <w:r>
        <w:rPr>
          <w:rFonts w:ascii="Times New Roman" w:eastAsia="Times New Roman" w:hAnsi="Times New Roman" w:cs="Times New Roman"/>
          <w:i/>
          <w:sz w:val="24"/>
          <w:szCs w:val="24"/>
          <w:highlight w:val="white"/>
        </w:rPr>
        <w:t>educating</w:t>
      </w:r>
      <w:proofErr w:type="spellEnd"/>
      <w:r>
        <w:rPr>
          <w:rFonts w:ascii="Times New Roman" w:eastAsia="Times New Roman" w:hAnsi="Times New Roman" w:cs="Times New Roman"/>
          <w:i/>
          <w:sz w:val="24"/>
          <w:szCs w:val="24"/>
          <w:highlight w:val="white"/>
        </w:rPr>
        <w:t xml:space="preserve">: </w:t>
      </w:r>
      <w:proofErr w:type="spellStart"/>
      <w:r>
        <w:rPr>
          <w:rFonts w:ascii="Times New Roman" w:eastAsia="Times New Roman" w:hAnsi="Times New Roman" w:cs="Times New Roman"/>
          <w:i/>
          <w:sz w:val="24"/>
          <w:szCs w:val="24"/>
          <w:highlight w:val="white"/>
        </w:rPr>
        <w:t>bounded</w:t>
      </w:r>
      <w:proofErr w:type="spellEnd"/>
      <w:r>
        <w:rPr>
          <w:rFonts w:ascii="Times New Roman" w:eastAsia="Times New Roman" w:hAnsi="Times New Roman" w:cs="Times New Roman"/>
          <w:i/>
          <w:sz w:val="24"/>
          <w:szCs w:val="24"/>
          <w:highlight w:val="white"/>
        </w:rPr>
        <w:t xml:space="preserve"> </w:t>
      </w:r>
      <w:proofErr w:type="spellStart"/>
      <w:r>
        <w:rPr>
          <w:rFonts w:ascii="Times New Roman" w:eastAsia="Times New Roman" w:hAnsi="Times New Roman" w:cs="Times New Roman"/>
          <w:i/>
          <w:sz w:val="24"/>
          <w:szCs w:val="24"/>
          <w:highlight w:val="white"/>
        </w:rPr>
        <w:t>axiological</w:t>
      </w:r>
      <w:proofErr w:type="spellEnd"/>
      <w:r>
        <w:rPr>
          <w:rFonts w:ascii="Times New Roman" w:eastAsia="Times New Roman" w:hAnsi="Times New Roman" w:cs="Times New Roman"/>
          <w:i/>
          <w:sz w:val="24"/>
          <w:szCs w:val="24"/>
          <w:highlight w:val="white"/>
        </w:rPr>
        <w:t xml:space="preserve"> </w:t>
      </w:r>
      <w:proofErr w:type="spellStart"/>
      <w:r>
        <w:rPr>
          <w:rFonts w:ascii="Times New Roman" w:eastAsia="Times New Roman" w:hAnsi="Times New Roman" w:cs="Times New Roman"/>
          <w:i/>
          <w:sz w:val="24"/>
          <w:szCs w:val="24"/>
          <w:highlight w:val="white"/>
        </w:rPr>
        <w:t>rationality</w:t>
      </w:r>
      <w:proofErr w:type="spellEnd"/>
      <w:r>
        <w:rPr>
          <w:rFonts w:ascii="Times New Roman" w:eastAsia="Times New Roman" w:hAnsi="Times New Roman" w:cs="Times New Roman"/>
          <w:i/>
          <w:sz w:val="24"/>
          <w:szCs w:val="24"/>
          <w:highlight w:val="white"/>
        </w:rPr>
        <w:t xml:space="preserve"> in </w:t>
      </w:r>
      <w:proofErr w:type="spellStart"/>
      <w:r>
        <w:rPr>
          <w:rFonts w:ascii="Times New Roman" w:eastAsia="Times New Roman" w:hAnsi="Times New Roman" w:cs="Times New Roman"/>
          <w:i/>
          <w:sz w:val="24"/>
          <w:szCs w:val="24"/>
          <w:highlight w:val="white"/>
        </w:rPr>
        <w:t>behavioral</w:t>
      </w:r>
      <w:proofErr w:type="spellEnd"/>
      <w:r>
        <w:rPr>
          <w:rFonts w:ascii="Times New Roman" w:eastAsia="Times New Roman" w:hAnsi="Times New Roman" w:cs="Times New Roman"/>
          <w:i/>
          <w:sz w:val="24"/>
          <w:szCs w:val="24"/>
          <w:highlight w:val="white"/>
        </w:rPr>
        <w:t xml:space="preserve"> </w:t>
      </w:r>
      <w:proofErr w:type="spellStart"/>
      <w:r>
        <w:rPr>
          <w:rFonts w:ascii="Times New Roman" w:eastAsia="Times New Roman" w:hAnsi="Times New Roman" w:cs="Times New Roman"/>
          <w:i/>
          <w:sz w:val="24"/>
          <w:szCs w:val="24"/>
          <w:highlight w:val="white"/>
        </w:rPr>
        <w:t>insi</w:t>
      </w:r>
      <w:r>
        <w:rPr>
          <w:rFonts w:ascii="Times New Roman" w:eastAsia="Times New Roman" w:hAnsi="Times New Roman" w:cs="Times New Roman"/>
          <w:i/>
          <w:sz w:val="24"/>
          <w:szCs w:val="24"/>
          <w:highlight w:val="white"/>
        </w:rPr>
        <w:t>ghts</w:t>
      </w:r>
      <w:proofErr w:type="spellEnd"/>
      <w:r>
        <w:rPr>
          <w:rFonts w:ascii="Times New Roman" w:eastAsia="Times New Roman" w:hAnsi="Times New Roman" w:cs="Times New Roman"/>
          <w:i/>
          <w:sz w:val="24"/>
          <w:szCs w:val="24"/>
          <w:highlight w:val="white"/>
        </w:rPr>
        <w:t xml:space="preserve">," </w:t>
      </w:r>
      <w:proofErr w:type="spellStart"/>
      <w:r>
        <w:rPr>
          <w:rFonts w:ascii="Times New Roman" w:eastAsia="Times New Roman" w:hAnsi="Times New Roman" w:cs="Times New Roman"/>
          <w:sz w:val="24"/>
          <w:szCs w:val="24"/>
          <w:highlight w:val="white"/>
        </w:rPr>
        <w:t>Behavioural</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Public</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Policy</w:t>
      </w:r>
      <w:proofErr w:type="spellEnd"/>
      <w:r>
        <w:rPr>
          <w:rFonts w:ascii="Times New Roman" w:eastAsia="Times New Roman" w:hAnsi="Times New Roman" w:cs="Times New Roman"/>
          <w:sz w:val="24"/>
          <w:szCs w:val="24"/>
          <w:highlight w:val="white"/>
        </w:rPr>
        <w:t xml:space="preserve">, Cambridge </w:t>
      </w:r>
      <w:proofErr w:type="spellStart"/>
      <w:r>
        <w:rPr>
          <w:rFonts w:ascii="Times New Roman" w:eastAsia="Times New Roman" w:hAnsi="Times New Roman" w:cs="Times New Roman"/>
          <w:sz w:val="24"/>
          <w:szCs w:val="24"/>
          <w:highlight w:val="white"/>
        </w:rPr>
        <w:t>University</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Press</w:t>
      </w:r>
      <w:proofErr w:type="spellEnd"/>
      <w:r>
        <w:rPr>
          <w:rFonts w:ascii="Times New Roman" w:eastAsia="Times New Roman" w:hAnsi="Times New Roman" w:cs="Times New Roman"/>
          <w:sz w:val="24"/>
          <w:szCs w:val="24"/>
          <w:highlight w:val="white"/>
        </w:rPr>
        <w:t xml:space="preserve">, vol. 4(3), </w:t>
      </w:r>
      <w:proofErr w:type="spellStart"/>
      <w:r>
        <w:rPr>
          <w:rFonts w:ascii="Times New Roman" w:eastAsia="Times New Roman" w:hAnsi="Times New Roman" w:cs="Times New Roman"/>
          <w:sz w:val="24"/>
          <w:szCs w:val="24"/>
          <w:highlight w:val="white"/>
        </w:rPr>
        <w:t>pp</w:t>
      </w:r>
      <w:proofErr w:type="spellEnd"/>
      <w:r>
        <w:rPr>
          <w:rFonts w:ascii="Times New Roman" w:eastAsia="Times New Roman" w:hAnsi="Times New Roman" w:cs="Times New Roman"/>
          <w:sz w:val="24"/>
          <w:szCs w:val="24"/>
          <w:highlight w:val="white"/>
        </w:rPr>
        <w:t xml:space="preserve"> 292-315. </w:t>
      </w:r>
    </w:p>
    <w:p w14:paraId="53DAA7D5" w14:textId="77777777" w:rsidR="008322BC" w:rsidRDefault="008322BC">
      <w:pPr>
        <w:spacing w:after="0"/>
        <w:ind w:left="0" w:hanging="2"/>
        <w:rPr>
          <w:rFonts w:ascii="Times New Roman" w:eastAsia="Times New Roman" w:hAnsi="Times New Roman" w:cs="Times New Roman"/>
          <w:sz w:val="24"/>
          <w:szCs w:val="24"/>
          <w:highlight w:val="white"/>
        </w:rPr>
      </w:pPr>
    </w:p>
    <w:p w14:paraId="0665776A" w14:textId="77777777" w:rsidR="008322BC" w:rsidRPr="006265D5" w:rsidRDefault="006265D5">
      <w:pPr>
        <w:spacing w:after="0"/>
        <w:ind w:left="0" w:hanging="2"/>
        <w:rPr>
          <w:rFonts w:ascii="Times New Roman" w:eastAsia="Times New Roman" w:hAnsi="Times New Roman" w:cs="Times New Roman"/>
          <w:sz w:val="24"/>
          <w:szCs w:val="24"/>
          <w:highlight w:val="white"/>
          <w:lang w:val="en-US"/>
        </w:rPr>
      </w:pPr>
      <w:r>
        <w:rPr>
          <w:rFonts w:ascii="Times New Roman" w:eastAsia="Times New Roman" w:hAnsi="Times New Roman" w:cs="Times New Roman"/>
          <w:i/>
          <w:sz w:val="24"/>
          <w:szCs w:val="24"/>
          <w:highlight w:val="white"/>
        </w:rPr>
        <w:t xml:space="preserve">2017. </w:t>
      </w:r>
      <w:proofErr w:type="spellStart"/>
      <w:r>
        <w:rPr>
          <w:rFonts w:ascii="Times New Roman" w:eastAsia="Times New Roman" w:hAnsi="Times New Roman" w:cs="Times New Roman"/>
          <w:i/>
          <w:sz w:val="24"/>
          <w:szCs w:val="24"/>
          <w:highlight w:val="white"/>
        </w:rPr>
        <w:t>Empiricism</w:t>
      </w:r>
      <w:proofErr w:type="spellEnd"/>
      <w:r>
        <w:rPr>
          <w:rFonts w:ascii="Times New Roman" w:eastAsia="Times New Roman" w:hAnsi="Times New Roman" w:cs="Times New Roman"/>
          <w:i/>
          <w:sz w:val="24"/>
          <w:szCs w:val="24"/>
          <w:highlight w:val="white"/>
        </w:rPr>
        <w:t xml:space="preserve"> in Herbert </w:t>
      </w:r>
      <w:proofErr w:type="spellStart"/>
      <w:r>
        <w:rPr>
          <w:rFonts w:ascii="Times New Roman" w:eastAsia="Times New Roman" w:hAnsi="Times New Roman" w:cs="Times New Roman"/>
          <w:i/>
          <w:sz w:val="24"/>
          <w:szCs w:val="24"/>
          <w:highlight w:val="white"/>
        </w:rPr>
        <w:t>Simon</w:t>
      </w:r>
      <w:proofErr w:type="spellEnd"/>
      <w:r>
        <w:rPr>
          <w:rFonts w:ascii="Times New Roman" w:eastAsia="Times New Roman" w:hAnsi="Times New Roman" w:cs="Times New Roman"/>
          <w:i/>
          <w:sz w:val="24"/>
          <w:szCs w:val="24"/>
          <w:highlight w:val="white"/>
        </w:rPr>
        <w:t xml:space="preserve">: Administrative </w:t>
      </w:r>
      <w:proofErr w:type="spellStart"/>
      <w:r>
        <w:rPr>
          <w:rFonts w:ascii="Times New Roman" w:eastAsia="Times New Roman" w:hAnsi="Times New Roman" w:cs="Times New Roman"/>
          <w:i/>
          <w:sz w:val="24"/>
          <w:szCs w:val="24"/>
          <w:highlight w:val="white"/>
        </w:rPr>
        <w:t>Behavior</w:t>
      </w:r>
      <w:proofErr w:type="spellEnd"/>
      <w:r>
        <w:rPr>
          <w:rFonts w:ascii="Times New Roman" w:eastAsia="Times New Roman" w:hAnsi="Times New Roman" w:cs="Times New Roman"/>
          <w:i/>
          <w:sz w:val="24"/>
          <w:szCs w:val="24"/>
          <w:highlight w:val="white"/>
        </w:rPr>
        <w:t xml:space="preserve"> </w:t>
      </w:r>
      <w:proofErr w:type="spellStart"/>
      <w:r>
        <w:rPr>
          <w:rFonts w:ascii="Times New Roman" w:eastAsia="Times New Roman" w:hAnsi="Times New Roman" w:cs="Times New Roman"/>
          <w:i/>
          <w:sz w:val="24"/>
          <w:szCs w:val="24"/>
          <w:highlight w:val="white"/>
        </w:rPr>
        <w:t>within</w:t>
      </w:r>
      <w:proofErr w:type="spellEnd"/>
      <w:r>
        <w:rPr>
          <w:rFonts w:ascii="Times New Roman" w:eastAsia="Times New Roman" w:hAnsi="Times New Roman" w:cs="Times New Roman"/>
          <w:i/>
          <w:sz w:val="24"/>
          <w:szCs w:val="24"/>
          <w:highlight w:val="white"/>
        </w:rPr>
        <w:t xml:space="preserve"> </w:t>
      </w:r>
      <w:proofErr w:type="spellStart"/>
      <w:r>
        <w:rPr>
          <w:rFonts w:ascii="Times New Roman" w:eastAsia="Times New Roman" w:hAnsi="Times New Roman" w:cs="Times New Roman"/>
          <w:i/>
          <w:sz w:val="24"/>
          <w:szCs w:val="24"/>
          <w:highlight w:val="white"/>
        </w:rPr>
        <w:t>the</w:t>
      </w:r>
      <w:proofErr w:type="spellEnd"/>
      <w:r>
        <w:rPr>
          <w:rFonts w:ascii="Times New Roman" w:eastAsia="Times New Roman" w:hAnsi="Times New Roman" w:cs="Times New Roman"/>
          <w:i/>
          <w:sz w:val="24"/>
          <w:szCs w:val="24"/>
          <w:highlight w:val="white"/>
        </w:rPr>
        <w:t xml:space="preserve"> </w:t>
      </w:r>
      <w:proofErr w:type="spellStart"/>
      <w:r>
        <w:rPr>
          <w:rFonts w:ascii="Times New Roman" w:eastAsia="Times New Roman" w:hAnsi="Times New Roman" w:cs="Times New Roman"/>
          <w:i/>
          <w:sz w:val="24"/>
          <w:szCs w:val="24"/>
          <w:highlight w:val="white"/>
        </w:rPr>
        <w:t>evolution</w:t>
      </w:r>
      <w:proofErr w:type="spellEnd"/>
      <w:r>
        <w:rPr>
          <w:rFonts w:ascii="Times New Roman" w:eastAsia="Times New Roman" w:hAnsi="Times New Roman" w:cs="Times New Roman"/>
          <w:i/>
          <w:sz w:val="24"/>
          <w:szCs w:val="24"/>
          <w:highlight w:val="white"/>
        </w:rPr>
        <w:t xml:space="preserve"> </w:t>
      </w:r>
      <w:proofErr w:type="spellStart"/>
      <w:r>
        <w:rPr>
          <w:rFonts w:ascii="Times New Roman" w:eastAsia="Times New Roman" w:hAnsi="Times New Roman" w:cs="Times New Roman"/>
          <w:i/>
          <w:sz w:val="24"/>
          <w:szCs w:val="24"/>
          <w:highlight w:val="white"/>
        </w:rPr>
        <w:t>of</w:t>
      </w:r>
      <w:proofErr w:type="spellEnd"/>
      <w:r>
        <w:rPr>
          <w:rFonts w:ascii="Times New Roman" w:eastAsia="Times New Roman" w:hAnsi="Times New Roman" w:cs="Times New Roman"/>
          <w:i/>
          <w:sz w:val="24"/>
          <w:szCs w:val="24"/>
          <w:highlight w:val="white"/>
        </w:rPr>
        <w:t xml:space="preserve"> </w:t>
      </w:r>
      <w:proofErr w:type="spellStart"/>
      <w:r>
        <w:rPr>
          <w:rFonts w:ascii="Times New Roman" w:eastAsia="Times New Roman" w:hAnsi="Times New Roman" w:cs="Times New Roman"/>
          <w:i/>
          <w:sz w:val="24"/>
          <w:szCs w:val="24"/>
          <w:highlight w:val="white"/>
        </w:rPr>
        <w:t>the</w:t>
      </w:r>
      <w:proofErr w:type="spellEnd"/>
      <w:r>
        <w:rPr>
          <w:rFonts w:ascii="Times New Roman" w:eastAsia="Times New Roman" w:hAnsi="Times New Roman" w:cs="Times New Roman"/>
          <w:i/>
          <w:sz w:val="24"/>
          <w:szCs w:val="24"/>
          <w:highlight w:val="white"/>
        </w:rPr>
        <w:t xml:space="preserve"> </w:t>
      </w:r>
      <w:proofErr w:type="spellStart"/>
      <w:r>
        <w:rPr>
          <w:rFonts w:ascii="Times New Roman" w:eastAsia="Times New Roman" w:hAnsi="Times New Roman" w:cs="Times New Roman"/>
          <w:i/>
          <w:sz w:val="24"/>
          <w:szCs w:val="24"/>
          <w:highlight w:val="white"/>
        </w:rPr>
        <w:t>Models</w:t>
      </w:r>
      <w:proofErr w:type="spellEnd"/>
      <w:r>
        <w:rPr>
          <w:rFonts w:ascii="Times New Roman" w:eastAsia="Times New Roman" w:hAnsi="Times New Roman" w:cs="Times New Roman"/>
          <w:i/>
          <w:sz w:val="24"/>
          <w:szCs w:val="24"/>
          <w:highlight w:val="white"/>
        </w:rPr>
        <w:t xml:space="preserve"> </w:t>
      </w:r>
      <w:proofErr w:type="spellStart"/>
      <w:r>
        <w:rPr>
          <w:rFonts w:ascii="Times New Roman" w:eastAsia="Times New Roman" w:hAnsi="Times New Roman" w:cs="Times New Roman"/>
          <w:i/>
          <w:sz w:val="24"/>
          <w:szCs w:val="24"/>
          <w:highlight w:val="white"/>
        </w:rPr>
        <w:t>of</w:t>
      </w:r>
      <w:proofErr w:type="spellEnd"/>
      <w:r>
        <w:rPr>
          <w:rFonts w:ascii="Times New Roman" w:eastAsia="Times New Roman" w:hAnsi="Times New Roman" w:cs="Times New Roman"/>
          <w:i/>
          <w:sz w:val="24"/>
          <w:szCs w:val="24"/>
          <w:highlight w:val="white"/>
        </w:rPr>
        <w:t xml:space="preserve"> </w:t>
      </w:r>
      <w:proofErr w:type="spellStart"/>
      <w:r>
        <w:rPr>
          <w:rFonts w:ascii="Times New Roman" w:eastAsia="Times New Roman" w:hAnsi="Times New Roman" w:cs="Times New Roman"/>
          <w:i/>
          <w:sz w:val="24"/>
          <w:szCs w:val="24"/>
          <w:highlight w:val="white"/>
        </w:rPr>
        <w:t>Bounded</w:t>
      </w:r>
      <w:proofErr w:type="spellEnd"/>
      <w:r>
        <w:rPr>
          <w:rFonts w:ascii="Times New Roman" w:eastAsia="Times New Roman" w:hAnsi="Times New Roman" w:cs="Times New Roman"/>
          <w:i/>
          <w:sz w:val="24"/>
          <w:szCs w:val="24"/>
          <w:highlight w:val="white"/>
        </w:rPr>
        <w:t xml:space="preserve"> and Procedural </w:t>
      </w:r>
      <w:proofErr w:type="spellStart"/>
      <w:r>
        <w:rPr>
          <w:rFonts w:ascii="Times New Roman" w:eastAsia="Times New Roman" w:hAnsi="Times New Roman" w:cs="Times New Roman"/>
          <w:i/>
          <w:sz w:val="24"/>
          <w:szCs w:val="24"/>
          <w:highlight w:val="white"/>
        </w:rPr>
        <w:t>Rationality</w:t>
      </w:r>
      <w:proofErr w:type="spellEnd"/>
      <w:r>
        <w:rPr>
          <w:rFonts w:ascii="Times New Roman" w:eastAsia="Times New Roman" w:hAnsi="Times New Roman" w:cs="Times New Roman"/>
          <w:sz w:val="24"/>
          <w:szCs w:val="24"/>
          <w:highlight w:val="white"/>
        </w:rPr>
        <w:t xml:space="preserve">. </w:t>
      </w:r>
      <w:r w:rsidRPr="006265D5">
        <w:rPr>
          <w:rFonts w:ascii="Times New Roman" w:eastAsia="Times New Roman" w:hAnsi="Times New Roman" w:cs="Times New Roman"/>
          <w:sz w:val="24"/>
          <w:szCs w:val="24"/>
          <w:highlight w:val="white"/>
          <w:lang w:val="en-US"/>
        </w:rPr>
        <w:t>Brazilian Journal of Political Econo</w:t>
      </w:r>
      <w:r w:rsidRPr="006265D5">
        <w:rPr>
          <w:rFonts w:ascii="Times New Roman" w:eastAsia="Times New Roman" w:hAnsi="Times New Roman" w:cs="Times New Roman"/>
          <w:sz w:val="24"/>
          <w:szCs w:val="24"/>
          <w:highlight w:val="white"/>
          <w:lang w:val="en-US"/>
        </w:rPr>
        <w:t xml:space="preserve">my, vol. 37, nº 4 (149), pp. 719-733, </w:t>
      </w:r>
      <w:hyperlink r:id="rId9">
        <w:r w:rsidRPr="006265D5">
          <w:rPr>
            <w:rFonts w:ascii="Times New Roman" w:eastAsia="Times New Roman" w:hAnsi="Times New Roman" w:cs="Times New Roman"/>
            <w:sz w:val="24"/>
            <w:szCs w:val="24"/>
            <w:highlight w:val="white"/>
            <w:u w:val="single"/>
            <w:lang w:val="en-US"/>
          </w:rPr>
          <w:t>http://www.rep.org.br/ARTICLES_VIEWS.ASP?COD=1557</w:t>
        </w:r>
      </w:hyperlink>
    </w:p>
    <w:p w14:paraId="7DA2D999" w14:textId="77777777" w:rsidR="008322BC" w:rsidRPr="006265D5" w:rsidRDefault="008322BC">
      <w:pPr>
        <w:spacing w:after="0"/>
        <w:ind w:left="0" w:hanging="2"/>
        <w:rPr>
          <w:rFonts w:ascii="Times New Roman" w:eastAsia="Times New Roman" w:hAnsi="Times New Roman" w:cs="Times New Roman"/>
          <w:b/>
          <w:sz w:val="24"/>
          <w:szCs w:val="24"/>
          <w:highlight w:val="white"/>
          <w:lang w:val="en-US"/>
        </w:rPr>
      </w:pPr>
    </w:p>
    <w:p w14:paraId="6B82B658" w14:textId="77777777" w:rsidR="008322BC" w:rsidRPr="006265D5" w:rsidRDefault="006265D5">
      <w:pPr>
        <w:spacing w:after="0"/>
        <w:ind w:left="0" w:hanging="2"/>
        <w:rPr>
          <w:rFonts w:ascii="Times New Roman" w:eastAsia="Times New Roman" w:hAnsi="Times New Roman" w:cs="Times New Roman"/>
          <w:b/>
          <w:sz w:val="24"/>
          <w:szCs w:val="24"/>
          <w:highlight w:val="white"/>
          <w:lang w:val="en-US"/>
        </w:rPr>
      </w:pPr>
      <w:r w:rsidRPr="006265D5">
        <w:rPr>
          <w:rFonts w:ascii="Times New Roman" w:eastAsia="Times New Roman" w:hAnsi="Times New Roman" w:cs="Times New Roman"/>
          <w:b/>
          <w:sz w:val="24"/>
          <w:szCs w:val="24"/>
          <w:highlight w:val="white"/>
          <w:lang w:val="en-US"/>
        </w:rPr>
        <w:t>Otras Publicaciones:</w:t>
      </w:r>
    </w:p>
    <w:p w14:paraId="109A403D" w14:textId="77777777" w:rsidR="008322BC" w:rsidRPr="006265D5" w:rsidRDefault="006265D5">
      <w:pPr>
        <w:spacing w:after="0"/>
        <w:ind w:left="0" w:hanging="2"/>
        <w:rPr>
          <w:rFonts w:ascii="Times New Roman" w:eastAsia="Times New Roman" w:hAnsi="Times New Roman" w:cs="Times New Roman"/>
          <w:b/>
          <w:sz w:val="24"/>
          <w:szCs w:val="24"/>
          <w:lang w:val="en-US"/>
        </w:rPr>
      </w:pPr>
      <w:r w:rsidRPr="006265D5">
        <w:rPr>
          <w:rFonts w:ascii="Times New Roman" w:eastAsia="Times New Roman" w:hAnsi="Times New Roman" w:cs="Times New Roman"/>
          <w:i/>
          <w:sz w:val="24"/>
          <w:szCs w:val="24"/>
          <w:lang w:val="en-US"/>
        </w:rPr>
        <w:t xml:space="preserve">Breathing Life into Vaccination. </w:t>
      </w:r>
      <w:r w:rsidRPr="006265D5">
        <w:rPr>
          <w:rFonts w:ascii="Times New Roman" w:eastAsia="Times New Roman" w:hAnsi="Times New Roman" w:cs="Times New Roman"/>
          <w:sz w:val="24"/>
          <w:szCs w:val="24"/>
          <w:lang w:val="en-US"/>
        </w:rPr>
        <w:t>Behavioral Public Policy Blog. March 2020</w:t>
      </w:r>
    </w:p>
    <w:p w14:paraId="089F17CA" w14:textId="77777777" w:rsidR="008322BC" w:rsidRPr="006265D5" w:rsidRDefault="008322BC">
      <w:pPr>
        <w:spacing w:after="0" w:line="240" w:lineRule="auto"/>
        <w:ind w:left="0" w:hanging="2"/>
        <w:jc w:val="both"/>
        <w:rPr>
          <w:rFonts w:ascii="Times New Roman" w:eastAsia="Times New Roman" w:hAnsi="Times New Roman" w:cs="Times New Roman"/>
          <w:color w:val="000000"/>
          <w:sz w:val="24"/>
          <w:szCs w:val="24"/>
          <w:lang w:val="en-US"/>
        </w:rPr>
      </w:pPr>
    </w:p>
    <w:p w14:paraId="5A6059A0" w14:textId="77777777" w:rsidR="008322BC" w:rsidRPr="006265D5" w:rsidRDefault="006265D5">
      <w:pPr>
        <w:spacing w:after="0" w:line="240" w:lineRule="auto"/>
        <w:ind w:left="0" w:hanging="2"/>
        <w:jc w:val="both"/>
        <w:rPr>
          <w:rFonts w:ascii="Times New Roman" w:eastAsia="Times New Roman" w:hAnsi="Times New Roman" w:cs="Times New Roman"/>
          <w:color w:val="000000"/>
          <w:sz w:val="24"/>
          <w:szCs w:val="24"/>
          <w:lang w:val="en-US"/>
        </w:rPr>
      </w:pPr>
      <w:r w:rsidRPr="006265D5">
        <w:rPr>
          <w:rFonts w:ascii="Times New Roman" w:eastAsia="Times New Roman" w:hAnsi="Times New Roman" w:cs="Times New Roman"/>
          <w:b/>
          <w:color w:val="000000"/>
          <w:sz w:val="24"/>
          <w:szCs w:val="24"/>
          <w:lang w:val="en-US"/>
        </w:rPr>
        <w:t>C.2. Proyectos</w:t>
      </w:r>
    </w:p>
    <w:p w14:paraId="3D5B46A3" w14:textId="77777777" w:rsidR="008322BC" w:rsidRPr="006265D5" w:rsidRDefault="008322BC">
      <w:pPr>
        <w:spacing w:after="0" w:line="240" w:lineRule="auto"/>
        <w:ind w:left="0" w:hanging="2"/>
        <w:jc w:val="both"/>
        <w:rPr>
          <w:rFonts w:ascii="Times New Roman" w:eastAsia="Times New Roman" w:hAnsi="Times New Roman" w:cs="Times New Roman"/>
          <w:color w:val="000000"/>
          <w:sz w:val="24"/>
          <w:szCs w:val="24"/>
          <w:lang w:val="en-US"/>
        </w:rPr>
      </w:pPr>
    </w:p>
    <w:p w14:paraId="71B1AA30" w14:textId="77777777" w:rsidR="008322BC" w:rsidRPr="006265D5" w:rsidRDefault="006265D5">
      <w:pPr>
        <w:spacing w:after="0" w:line="240" w:lineRule="auto"/>
        <w:ind w:left="0" w:hanging="2"/>
        <w:jc w:val="both"/>
        <w:rPr>
          <w:rFonts w:ascii="Times New Roman" w:eastAsia="Times New Roman" w:hAnsi="Times New Roman" w:cs="Times New Roman"/>
          <w:b/>
          <w:color w:val="000000"/>
          <w:sz w:val="24"/>
          <w:szCs w:val="24"/>
          <w:lang w:val="en-US"/>
        </w:rPr>
      </w:pPr>
      <w:r w:rsidRPr="006265D5">
        <w:rPr>
          <w:rFonts w:ascii="Times New Roman" w:eastAsia="Times New Roman" w:hAnsi="Times New Roman" w:cs="Times New Roman"/>
          <w:b/>
          <w:color w:val="000000"/>
          <w:sz w:val="24"/>
          <w:szCs w:val="24"/>
          <w:lang w:val="en-US"/>
        </w:rPr>
        <w:t>C.3. Contratos</w:t>
      </w:r>
    </w:p>
    <w:p w14:paraId="47DADE83" w14:textId="77777777" w:rsidR="008322BC" w:rsidRPr="006265D5" w:rsidRDefault="006265D5">
      <w:pPr>
        <w:spacing w:after="0"/>
        <w:ind w:left="0" w:hanging="2"/>
        <w:rPr>
          <w:rFonts w:ascii="Times New Roman" w:eastAsia="Times New Roman" w:hAnsi="Times New Roman" w:cs="Times New Roman"/>
          <w:sz w:val="24"/>
          <w:szCs w:val="24"/>
          <w:highlight w:val="white"/>
          <w:lang w:val="en-US"/>
        </w:rPr>
      </w:pPr>
      <w:r w:rsidRPr="006265D5">
        <w:rPr>
          <w:rFonts w:ascii="Times New Roman" w:eastAsia="Times New Roman" w:hAnsi="Times New Roman" w:cs="Times New Roman"/>
          <w:b/>
          <w:sz w:val="24"/>
          <w:szCs w:val="24"/>
          <w:highlight w:val="white"/>
          <w:lang w:val="en-US"/>
        </w:rPr>
        <w:t>GlaxoSmithKline</w:t>
      </w:r>
      <w:r w:rsidRPr="006265D5">
        <w:rPr>
          <w:rFonts w:ascii="Times New Roman" w:eastAsia="Times New Roman" w:hAnsi="Times New Roman" w:cs="Times New Roman"/>
          <w:sz w:val="24"/>
          <w:szCs w:val="24"/>
          <w:highlight w:val="white"/>
          <w:lang w:val="en-US"/>
        </w:rPr>
        <w:t xml:space="preserve"> (March 2020 - March 2021)</w:t>
      </w:r>
    </w:p>
    <w:p w14:paraId="329710CC" w14:textId="77777777" w:rsidR="008322BC" w:rsidRPr="006265D5" w:rsidRDefault="006265D5">
      <w:pPr>
        <w:spacing w:after="0"/>
        <w:ind w:left="0" w:hanging="2"/>
        <w:rPr>
          <w:rFonts w:ascii="Times New Roman" w:eastAsia="Times New Roman" w:hAnsi="Times New Roman" w:cs="Times New Roman"/>
          <w:sz w:val="24"/>
          <w:szCs w:val="24"/>
          <w:highlight w:val="white"/>
          <w:lang w:val="en-US"/>
        </w:rPr>
      </w:pPr>
      <w:r w:rsidRPr="006265D5">
        <w:rPr>
          <w:rFonts w:ascii="Times New Roman" w:eastAsia="Times New Roman" w:hAnsi="Times New Roman" w:cs="Times New Roman"/>
          <w:sz w:val="24"/>
          <w:szCs w:val="24"/>
          <w:highlight w:val="white"/>
          <w:lang w:val="en-US"/>
        </w:rPr>
        <w:t>Expert Consultant, vaccine hesitancy and public policy.</w:t>
      </w:r>
    </w:p>
    <w:p w14:paraId="686C2757" w14:textId="77777777" w:rsidR="008322BC" w:rsidRDefault="006265D5">
      <w:pPr>
        <w:spacing w:after="0"/>
        <w:ind w:left="0" w:hanging="2"/>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$12000</w:t>
      </w:r>
    </w:p>
    <w:p w14:paraId="182E2E84" w14:textId="77777777" w:rsidR="008322BC" w:rsidRDefault="008322BC">
      <w:pPr>
        <w:spacing w:after="0" w:line="240" w:lineRule="auto"/>
        <w:ind w:left="0" w:hanging="2"/>
        <w:jc w:val="both"/>
        <w:rPr>
          <w:rFonts w:ascii="Times New Roman" w:eastAsia="Times New Roman" w:hAnsi="Times New Roman" w:cs="Times New Roman"/>
          <w:color w:val="000000"/>
          <w:sz w:val="24"/>
          <w:szCs w:val="24"/>
        </w:rPr>
      </w:pPr>
    </w:p>
    <w:p w14:paraId="3EBB45BC" w14:textId="77777777" w:rsidR="008322BC" w:rsidRDefault="006265D5">
      <w:pPr>
        <w:tabs>
          <w:tab w:val="left" w:pos="6075"/>
        </w:tabs>
        <w:spacing w:after="0" w:line="240" w:lineRule="auto"/>
        <w:ind w:left="0" w:hanging="2"/>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C.4. Patentes</w:t>
      </w:r>
      <w:r>
        <w:rPr>
          <w:rFonts w:ascii="Times New Roman" w:eastAsia="Times New Roman" w:hAnsi="Times New Roman" w:cs="Times New Roman"/>
          <w:b/>
          <w:color w:val="000000"/>
          <w:sz w:val="24"/>
          <w:szCs w:val="24"/>
        </w:rPr>
        <w:tab/>
      </w:r>
    </w:p>
    <w:p w14:paraId="316F1796" w14:textId="77777777" w:rsidR="008322BC" w:rsidRDefault="008322BC">
      <w:pPr>
        <w:spacing w:after="0" w:line="240" w:lineRule="auto"/>
        <w:ind w:left="0" w:hanging="2"/>
        <w:jc w:val="both"/>
        <w:rPr>
          <w:rFonts w:ascii="Times New Roman" w:eastAsia="Times New Roman" w:hAnsi="Times New Roman" w:cs="Times New Roman"/>
          <w:b/>
          <w:sz w:val="24"/>
          <w:szCs w:val="24"/>
        </w:rPr>
      </w:pPr>
    </w:p>
    <w:p w14:paraId="0DE8AA9D" w14:textId="77777777" w:rsidR="008322BC" w:rsidRDefault="006265D5">
      <w:pPr>
        <w:spacing w:after="0" w:line="240" w:lineRule="auto"/>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C.5. Otros cargos profesionales</w:t>
      </w:r>
    </w:p>
    <w:p w14:paraId="31E609B3" w14:textId="77777777" w:rsidR="008322BC" w:rsidRPr="006265D5" w:rsidRDefault="006265D5">
      <w:pPr>
        <w:spacing w:after="0"/>
        <w:ind w:left="0" w:hanging="2"/>
        <w:rPr>
          <w:rFonts w:ascii="Times New Roman" w:eastAsia="Times New Roman" w:hAnsi="Times New Roman" w:cs="Times New Roman"/>
          <w:sz w:val="24"/>
          <w:szCs w:val="24"/>
          <w:highlight w:val="white"/>
          <w:lang w:val="en-US"/>
        </w:rPr>
      </w:pPr>
      <w:r w:rsidRPr="006265D5">
        <w:rPr>
          <w:rFonts w:ascii="Times New Roman" w:eastAsia="Times New Roman" w:hAnsi="Times New Roman" w:cs="Times New Roman"/>
          <w:b/>
          <w:sz w:val="24"/>
          <w:szCs w:val="24"/>
          <w:highlight w:val="white"/>
          <w:lang w:val="en-US"/>
        </w:rPr>
        <w:t>Prague Center for Behavioral</w:t>
      </w:r>
      <w:r w:rsidRPr="006265D5">
        <w:rPr>
          <w:rFonts w:ascii="Times New Roman" w:eastAsia="Times New Roman" w:hAnsi="Times New Roman" w:cs="Times New Roman"/>
          <w:b/>
          <w:sz w:val="24"/>
          <w:szCs w:val="24"/>
          <w:highlight w:val="white"/>
          <w:lang w:val="en-US"/>
        </w:rPr>
        <w:t xml:space="preserve"> Experiments</w:t>
      </w:r>
      <w:r w:rsidRPr="006265D5">
        <w:rPr>
          <w:rFonts w:ascii="Times New Roman" w:eastAsia="Times New Roman" w:hAnsi="Times New Roman" w:cs="Times New Roman"/>
          <w:sz w:val="24"/>
          <w:szCs w:val="24"/>
          <w:highlight w:val="white"/>
          <w:lang w:val="en-US"/>
        </w:rPr>
        <w:t xml:space="preserve">, </w:t>
      </w:r>
    </w:p>
    <w:p w14:paraId="610EE880" w14:textId="77777777" w:rsidR="008322BC" w:rsidRPr="006265D5" w:rsidRDefault="006265D5">
      <w:pPr>
        <w:spacing w:after="0"/>
        <w:ind w:left="0" w:hanging="2"/>
        <w:rPr>
          <w:rFonts w:ascii="Times New Roman" w:eastAsia="Times New Roman" w:hAnsi="Times New Roman" w:cs="Times New Roman"/>
          <w:sz w:val="24"/>
          <w:szCs w:val="24"/>
          <w:highlight w:val="white"/>
          <w:lang w:val="en-US"/>
        </w:rPr>
      </w:pPr>
      <w:r w:rsidRPr="006265D5">
        <w:rPr>
          <w:rFonts w:ascii="Times New Roman" w:eastAsia="Times New Roman" w:hAnsi="Times New Roman" w:cs="Times New Roman"/>
          <w:sz w:val="24"/>
          <w:szCs w:val="24"/>
          <w:highlight w:val="white"/>
          <w:lang w:val="en-US"/>
        </w:rPr>
        <w:t>associated with the CEVRO institute, Prague, Czech Republic (2019 - Present)</w:t>
      </w:r>
    </w:p>
    <w:p w14:paraId="13FA537D" w14:textId="77777777" w:rsidR="008322BC" w:rsidRPr="006265D5" w:rsidRDefault="006265D5">
      <w:pPr>
        <w:spacing w:after="0"/>
        <w:ind w:left="0" w:hanging="2"/>
        <w:rPr>
          <w:rFonts w:ascii="Times New Roman" w:eastAsia="Times New Roman" w:hAnsi="Times New Roman" w:cs="Times New Roman"/>
          <w:sz w:val="24"/>
          <w:szCs w:val="24"/>
          <w:highlight w:val="white"/>
          <w:lang w:val="en-US"/>
        </w:rPr>
      </w:pPr>
      <w:r w:rsidRPr="006265D5">
        <w:rPr>
          <w:rFonts w:ascii="Times New Roman" w:eastAsia="Times New Roman" w:hAnsi="Times New Roman" w:cs="Times New Roman"/>
          <w:sz w:val="24"/>
          <w:szCs w:val="24"/>
          <w:highlight w:val="white"/>
          <w:lang w:val="en-US"/>
        </w:rPr>
        <w:t xml:space="preserve">Coordinator of the Evolutionary Behavioral Economics track at their summer school. </w:t>
      </w:r>
    </w:p>
    <w:p w14:paraId="0561A5D9" w14:textId="77777777" w:rsidR="008322BC" w:rsidRPr="006265D5" w:rsidRDefault="008322BC">
      <w:pPr>
        <w:spacing w:after="0"/>
        <w:ind w:left="0" w:hanging="2"/>
        <w:rPr>
          <w:rFonts w:ascii="Times New Roman" w:eastAsia="Times New Roman" w:hAnsi="Times New Roman" w:cs="Times New Roman"/>
          <w:sz w:val="24"/>
          <w:szCs w:val="24"/>
          <w:highlight w:val="white"/>
          <w:lang w:val="en-US"/>
        </w:rPr>
      </w:pPr>
    </w:p>
    <w:p w14:paraId="0E243B98" w14:textId="77777777" w:rsidR="008322BC" w:rsidRPr="006265D5" w:rsidRDefault="008322BC">
      <w:pPr>
        <w:spacing w:after="0"/>
        <w:ind w:left="0" w:hanging="2"/>
        <w:rPr>
          <w:rFonts w:ascii="Times New Roman" w:eastAsia="Times New Roman" w:hAnsi="Times New Roman" w:cs="Times New Roman"/>
          <w:sz w:val="24"/>
          <w:szCs w:val="24"/>
          <w:highlight w:val="white"/>
          <w:lang w:val="en-US"/>
        </w:rPr>
      </w:pPr>
    </w:p>
    <w:p w14:paraId="1F0EEDD1" w14:textId="77777777" w:rsidR="008322BC" w:rsidRDefault="006265D5">
      <w:pPr>
        <w:widowControl w:val="0"/>
        <w:spacing w:after="0" w:line="240" w:lineRule="auto"/>
        <w:ind w:left="0" w:right="140" w:hanging="2"/>
        <w:rPr>
          <w:rFonts w:ascii="Times New Roman" w:eastAsia="Times New Roman" w:hAnsi="Times New Roman" w:cs="Times New Roman"/>
          <w:b/>
          <w:sz w:val="24"/>
          <w:szCs w:val="24"/>
        </w:rPr>
      </w:pPr>
      <w:r>
        <w:rPr>
          <w:rFonts w:ascii="Times New Roman" w:eastAsia="Times New Roman" w:hAnsi="Times New Roman" w:cs="Times New Roman"/>
          <w:b/>
          <w:sz w:val="24"/>
          <w:szCs w:val="24"/>
        </w:rPr>
        <w:t>C.6. Servicio</w:t>
      </w:r>
    </w:p>
    <w:p w14:paraId="1AC63C3A" w14:textId="77777777" w:rsidR="008322BC" w:rsidRDefault="006265D5">
      <w:pPr>
        <w:numPr>
          <w:ilvl w:val="0"/>
          <w:numId w:val="1"/>
        </w:numPr>
        <w:spacing w:after="0"/>
        <w:ind w:left="0" w:hanging="2"/>
        <w:rPr>
          <w:rFonts w:ascii="Times New Roman" w:eastAsia="Times New Roman" w:hAnsi="Times New Roman" w:cs="Times New Roman"/>
          <w:sz w:val="24"/>
          <w:szCs w:val="24"/>
        </w:rPr>
      </w:pPr>
      <w:proofErr w:type="spellStart"/>
      <w:r>
        <w:rPr>
          <w:rFonts w:ascii="Times New Roman" w:eastAsia="Times New Roman" w:hAnsi="Times New Roman" w:cs="Times New Roman"/>
          <w:color w:val="202124"/>
          <w:sz w:val="24"/>
          <w:szCs w:val="24"/>
          <w:highlight w:val="white"/>
        </w:rPr>
        <w:t>Departmental</w:t>
      </w:r>
      <w:proofErr w:type="spellEnd"/>
      <w:r>
        <w:rPr>
          <w:rFonts w:ascii="Times New Roman" w:eastAsia="Times New Roman" w:hAnsi="Times New Roman" w:cs="Times New Roman"/>
          <w:color w:val="202124"/>
          <w:sz w:val="24"/>
          <w:szCs w:val="24"/>
          <w:highlight w:val="white"/>
        </w:rPr>
        <w:t xml:space="preserve"> </w:t>
      </w:r>
      <w:proofErr w:type="spellStart"/>
      <w:r>
        <w:rPr>
          <w:rFonts w:ascii="Times New Roman" w:eastAsia="Times New Roman" w:hAnsi="Times New Roman" w:cs="Times New Roman"/>
          <w:color w:val="202124"/>
          <w:sz w:val="24"/>
          <w:szCs w:val="24"/>
          <w:highlight w:val="white"/>
        </w:rPr>
        <w:t>Annual</w:t>
      </w:r>
      <w:proofErr w:type="spellEnd"/>
      <w:r>
        <w:rPr>
          <w:rFonts w:ascii="Times New Roman" w:eastAsia="Times New Roman" w:hAnsi="Times New Roman" w:cs="Times New Roman"/>
          <w:color w:val="202124"/>
          <w:sz w:val="24"/>
          <w:szCs w:val="24"/>
          <w:highlight w:val="white"/>
        </w:rPr>
        <w:t xml:space="preserve"> </w:t>
      </w:r>
      <w:proofErr w:type="spellStart"/>
      <w:r>
        <w:rPr>
          <w:rFonts w:ascii="Times New Roman" w:eastAsia="Times New Roman" w:hAnsi="Times New Roman" w:cs="Times New Roman"/>
          <w:color w:val="202124"/>
          <w:sz w:val="24"/>
          <w:szCs w:val="24"/>
          <w:highlight w:val="white"/>
        </w:rPr>
        <w:t>Faculty</w:t>
      </w:r>
      <w:proofErr w:type="spellEnd"/>
      <w:r>
        <w:rPr>
          <w:rFonts w:ascii="Times New Roman" w:eastAsia="Times New Roman" w:hAnsi="Times New Roman" w:cs="Times New Roman"/>
          <w:color w:val="202124"/>
          <w:sz w:val="24"/>
          <w:szCs w:val="24"/>
          <w:highlight w:val="white"/>
        </w:rPr>
        <w:t xml:space="preserve"> </w:t>
      </w:r>
      <w:proofErr w:type="spellStart"/>
      <w:r>
        <w:rPr>
          <w:rFonts w:ascii="Times New Roman" w:eastAsia="Times New Roman" w:hAnsi="Times New Roman" w:cs="Times New Roman"/>
          <w:color w:val="202124"/>
          <w:sz w:val="24"/>
          <w:szCs w:val="24"/>
          <w:highlight w:val="white"/>
        </w:rPr>
        <w:t>Review</w:t>
      </w:r>
      <w:proofErr w:type="spellEnd"/>
      <w:r>
        <w:rPr>
          <w:rFonts w:ascii="Times New Roman" w:eastAsia="Times New Roman" w:hAnsi="Times New Roman" w:cs="Times New Roman"/>
          <w:color w:val="202124"/>
          <w:sz w:val="24"/>
          <w:szCs w:val="24"/>
          <w:highlight w:val="white"/>
        </w:rPr>
        <w:t xml:space="preserve"> </w:t>
      </w:r>
      <w:proofErr w:type="spellStart"/>
      <w:r>
        <w:rPr>
          <w:rFonts w:ascii="Times New Roman" w:eastAsia="Times New Roman" w:hAnsi="Times New Roman" w:cs="Times New Roman"/>
          <w:color w:val="202124"/>
          <w:sz w:val="24"/>
          <w:szCs w:val="24"/>
          <w:highlight w:val="white"/>
        </w:rPr>
        <w:t>Committee</w:t>
      </w:r>
      <w:proofErr w:type="spellEnd"/>
    </w:p>
    <w:p w14:paraId="4201339E" w14:textId="77777777" w:rsidR="008322BC" w:rsidRDefault="006265D5">
      <w:pPr>
        <w:numPr>
          <w:ilvl w:val="0"/>
          <w:numId w:val="1"/>
        </w:numPr>
        <w:spacing w:after="0"/>
        <w:ind w:left="0" w:hanging="2"/>
        <w:rPr>
          <w:rFonts w:ascii="Times New Roman" w:eastAsia="Times New Roman" w:hAnsi="Times New Roman" w:cs="Times New Roman"/>
          <w:sz w:val="24"/>
          <w:szCs w:val="24"/>
        </w:rPr>
      </w:pPr>
      <w:r>
        <w:rPr>
          <w:rFonts w:ascii="Times New Roman" w:eastAsia="Times New Roman" w:hAnsi="Times New Roman" w:cs="Times New Roman"/>
          <w:color w:val="202124"/>
          <w:sz w:val="24"/>
          <w:szCs w:val="24"/>
          <w:highlight w:val="white"/>
        </w:rPr>
        <w:t xml:space="preserve">UNCG </w:t>
      </w:r>
      <w:proofErr w:type="spellStart"/>
      <w:r>
        <w:rPr>
          <w:rFonts w:ascii="Times New Roman" w:eastAsia="Times New Roman" w:hAnsi="Times New Roman" w:cs="Times New Roman"/>
          <w:color w:val="202124"/>
          <w:sz w:val="24"/>
          <w:szCs w:val="24"/>
          <w:highlight w:val="white"/>
        </w:rPr>
        <w:t>Fulbright</w:t>
      </w:r>
      <w:proofErr w:type="spellEnd"/>
      <w:r>
        <w:rPr>
          <w:rFonts w:ascii="Times New Roman" w:eastAsia="Times New Roman" w:hAnsi="Times New Roman" w:cs="Times New Roman"/>
          <w:color w:val="202124"/>
          <w:sz w:val="24"/>
          <w:szCs w:val="24"/>
          <w:highlight w:val="white"/>
        </w:rPr>
        <w:t xml:space="preserve"> Campus </w:t>
      </w:r>
      <w:proofErr w:type="spellStart"/>
      <w:r>
        <w:rPr>
          <w:rFonts w:ascii="Times New Roman" w:eastAsia="Times New Roman" w:hAnsi="Times New Roman" w:cs="Times New Roman"/>
          <w:color w:val="202124"/>
          <w:sz w:val="24"/>
          <w:szCs w:val="24"/>
          <w:highlight w:val="white"/>
        </w:rPr>
        <w:t>Committee</w:t>
      </w:r>
      <w:proofErr w:type="spellEnd"/>
    </w:p>
    <w:p w14:paraId="4326173B" w14:textId="77777777" w:rsidR="008322BC" w:rsidRPr="006265D5" w:rsidRDefault="006265D5">
      <w:pPr>
        <w:numPr>
          <w:ilvl w:val="0"/>
          <w:numId w:val="1"/>
        </w:numPr>
        <w:spacing w:after="0"/>
        <w:ind w:left="0" w:hanging="2"/>
        <w:rPr>
          <w:rFonts w:ascii="Times New Roman" w:eastAsia="Times New Roman" w:hAnsi="Times New Roman" w:cs="Times New Roman"/>
          <w:sz w:val="24"/>
          <w:szCs w:val="24"/>
          <w:lang w:val="en-US"/>
        </w:rPr>
      </w:pPr>
      <w:r w:rsidRPr="006265D5">
        <w:rPr>
          <w:rFonts w:ascii="Times New Roman" w:eastAsia="Times New Roman" w:hAnsi="Times New Roman" w:cs="Times New Roman"/>
          <w:sz w:val="24"/>
          <w:szCs w:val="24"/>
          <w:lang w:val="en-US"/>
        </w:rPr>
        <w:t>Curriculum and Teaching Committee - College of Arts and Sciences</w:t>
      </w:r>
    </w:p>
    <w:p w14:paraId="2755FC51" w14:textId="77777777" w:rsidR="008322BC" w:rsidRPr="006265D5" w:rsidRDefault="006265D5">
      <w:pPr>
        <w:numPr>
          <w:ilvl w:val="0"/>
          <w:numId w:val="1"/>
        </w:numPr>
        <w:spacing w:after="0"/>
        <w:ind w:left="0" w:hanging="2"/>
        <w:rPr>
          <w:rFonts w:ascii="Times New Roman" w:eastAsia="Times New Roman" w:hAnsi="Times New Roman" w:cs="Times New Roman"/>
          <w:sz w:val="24"/>
          <w:szCs w:val="24"/>
          <w:lang w:val="en-US"/>
        </w:rPr>
      </w:pPr>
      <w:r w:rsidRPr="006265D5">
        <w:rPr>
          <w:rFonts w:ascii="Times New Roman" w:eastAsia="Times New Roman" w:hAnsi="Times New Roman" w:cs="Times New Roman"/>
          <w:sz w:val="24"/>
          <w:szCs w:val="24"/>
          <w:lang w:val="en-US"/>
        </w:rPr>
        <w:t>Faculty Adviso</w:t>
      </w:r>
      <w:r w:rsidRPr="006265D5">
        <w:rPr>
          <w:rFonts w:ascii="Times New Roman" w:eastAsia="Times New Roman" w:hAnsi="Times New Roman" w:cs="Times New Roman"/>
          <w:sz w:val="24"/>
          <w:szCs w:val="24"/>
          <w:lang w:val="en-US"/>
        </w:rPr>
        <w:t xml:space="preserve">r of the Student Advisory Board </w:t>
      </w:r>
    </w:p>
    <w:p w14:paraId="28BD66A6" w14:textId="77777777" w:rsidR="008322BC" w:rsidRPr="006265D5" w:rsidRDefault="006265D5">
      <w:pPr>
        <w:numPr>
          <w:ilvl w:val="0"/>
          <w:numId w:val="1"/>
        </w:numPr>
        <w:spacing w:after="0"/>
        <w:ind w:left="0" w:hanging="2"/>
        <w:rPr>
          <w:rFonts w:ascii="Times New Roman" w:eastAsia="Times New Roman" w:hAnsi="Times New Roman" w:cs="Times New Roman"/>
          <w:sz w:val="24"/>
          <w:szCs w:val="24"/>
          <w:lang w:val="en-US"/>
        </w:rPr>
      </w:pPr>
      <w:r w:rsidRPr="006265D5">
        <w:rPr>
          <w:rFonts w:ascii="Times New Roman" w:eastAsia="Times New Roman" w:hAnsi="Times New Roman" w:cs="Times New Roman"/>
          <w:sz w:val="24"/>
          <w:szCs w:val="24"/>
          <w:lang w:val="en-US"/>
        </w:rPr>
        <w:t>Member of the Environmental Studies Advisory Council</w:t>
      </w:r>
    </w:p>
    <w:p w14:paraId="0517C321" w14:textId="77777777" w:rsidR="008322BC" w:rsidRPr="006265D5" w:rsidRDefault="006265D5">
      <w:pPr>
        <w:numPr>
          <w:ilvl w:val="0"/>
          <w:numId w:val="1"/>
        </w:numPr>
        <w:spacing w:after="0"/>
        <w:ind w:left="0" w:hanging="2"/>
        <w:rPr>
          <w:rFonts w:ascii="Times New Roman" w:eastAsia="Times New Roman" w:hAnsi="Times New Roman" w:cs="Times New Roman"/>
          <w:sz w:val="24"/>
          <w:szCs w:val="24"/>
          <w:lang w:val="en-US"/>
        </w:rPr>
      </w:pPr>
      <w:r w:rsidRPr="006265D5">
        <w:rPr>
          <w:rFonts w:ascii="Times New Roman" w:eastAsia="Times New Roman" w:hAnsi="Times New Roman" w:cs="Times New Roman"/>
          <w:sz w:val="24"/>
          <w:szCs w:val="24"/>
          <w:lang w:val="en-US"/>
        </w:rPr>
        <w:t>Faculty Representative: Sustainable Development of Eastern Countries Student Club</w:t>
      </w:r>
    </w:p>
    <w:p w14:paraId="7BA56DC6" w14:textId="77777777" w:rsidR="008322BC" w:rsidRPr="006265D5" w:rsidRDefault="008322BC">
      <w:pPr>
        <w:spacing w:after="0"/>
        <w:ind w:left="0" w:hanging="2"/>
        <w:rPr>
          <w:rFonts w:ascii="Times New Roman" w:eastAsia="Times New Roman" w:hAnsi="Times New Roman" w:cs="Times New Roman"/>
          <w:sz w:val="24"/>
          <w:szCs w:val="24"/>
          <w:lang w:val="en-US"/>
        </w:rPr>
      </w:pPr>
    </w:p>
    <w:p w14:paraId="14714C41" w14:textId="77777777" w:rsidR="008322BC" w:rsidRDefault="006265D5">
      <w:pPr>
        <w:spacing w:after="0"/>
        <w:ind w:left="0" w:hanging="2"/>
        <w:rPr>
          <w:rFonts w:ascii="Times New Roman" w:eastAsia="Times New Roman" w:hAnsi="Times New Roman" w:cs="Times New Roman"/>
          <w:b/>
          <w:sz w:val="24"/>
          <w:szCs w:val="24"/>
        </w:rPr>
      </w:pPr>
      <w:r>
        <w:rPr>
          <w:rFonts w:ascii="Times New Roman" w:eastAsia="Times New Roman" w:hAnsi="Times New Roman" w:cs="Times New Roman"/>
          <w:b/>
          <w:sz w:val="24"/>
          <w:szCs w:val="24"/>
        </w:rPr>
        <w:t>C.7. Servicio a la comunidad</w:t>
      </w:r>
    </w:p>
    <w:p w14:paraId="59870EE3" w14:textId="77777777" w:rsidR="008322BC" w:rsidRPr="006265D5" w:rsidRDefault="006265D5">
      <w:pPr>
        <w:numPr>
          <w:ilvl w:val="0"/>
          <w:numId w:val="1"/>
        </w:numPr>
        <w:spacing w:after="0"/>
        <w:ind w:left="0" w:hanging="2"/>
        <w:rPr>
          <w:rFonts w:ascii="Times New Roman" w:eastAsia="Times New Roman" w:hAnsi="Times New Roman" w:cs="Times New Roman"/>
          <w:sz w:val="24"/>
          <w:szCs w:val="24"/>
          <w:lang w:val="en-US"/>
        </w:rPr>
      </w:pPr>
      <w:r w:rsidRPr="006265D5">
        <w:rPr>
          <w:rFonts w:ascii="Times New Roman" w:eastAsia="Times New Roman" w:hAnsi="Times New Roman" w:cs="Times New Roman"/>
          <w:sz w:val="24"/>
          <w:szCs w:val="24"/>
          <w:lang w:val="en-US"/>
        </w:rPr>
        <w:t>Emergency Management Advisory Council, City of Winston Sal</w:t>
      </w:r>
      <w:r w:rsidRPr="006265D5">
        <w:rPr>
          <w:rFonts w:ascii="Times New Roman" w:eastAsia="Times New Roman" w:hAnsi="Times New Roman" w:cs="Times New Roman"/>
          <w:sz w:val="24"/>
          <w:szCs w:val="24"/>
          <w:lang w:val="en-US"/>
        </w:rPr>
        <w:t>em, NC (2008-2010)</w:t>
      </w:r>
    </w:p>
    <w:p w14:paraId="2D52F9ED" w14:textId="77777777" w:rsidR="008322BC" w:rsidRPr="006265D5" w:rsidRDefault="008322BC">
      <w:pPr>
        <w:spacing w:after="0"/>
        <w:ind w:left="0" w:hanging="2"/>
        <w:rPr>
          <w:rFonts w:ascii="Times New Roman" w:eastAsia="Times New Roman" w:hAnsi="Times New Roman" w:cs="Times New Roman"/>
          <w:sz w:val="24"/>
          <w:szCs w:val="24"/>
          <w:lang w:val="en-US"/>
        </w:rPr>
      </w:pPr>
    </w:p>
    <w:p w14:paraId="634ABC4E" w14:textId="77777777" w:rsidR="008322BC" w:rsidRDefault="006265D5">
      <w:pPr>
        <w:spacing w:after="0" w:line="360" w:lineRule="auto"/>
        <w:ind w:left="0" w:hanging="2"/>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C.8. Reconocimientos </w:t>
      </w:r>
    </w:p>
    <w:p w14:paraId="4526F9EA" w14:textId="77777777" w:rsidR="008322BC" w:rsidRDefault="006265D5">
      <w:pPr>
        <w:numPr>
          <w:ilvl w:val="0"/>
          <w:numId w:val="2"/>
        </w:numPr>
        <w:spacing w:after="0"/>
        <w:ind w:left="0" w:hanging="2"/>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Miembro de la </w:t>
      </w:r>
      <w:proofErr w:type="spellStart"/>
      <w:r>
        <w:rPr>
          <w:rFonts w:ascii="Times New Roman" w:eastAsia="Times New Roman" w:hAnsi="Times New Roman" w:cs="Times New Roman"/>
          <w:sz w:val="24"/>
          <w:szCs w:val="24"/>
          <w:highlight w:val="white"/>
        </w:rPr>
        <w:t>National</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Society</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of</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Collegiate</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Scholars</w:t>
      </w:r>
      <w:proofErr w:type="spellEnd"/>
      <w:r>
        <w:rPr>
          <w:rFonts w:ascii="Times New Roman" w:eastAsia="Times New Roman" w:hAnsi="Times New Roman" w:cs="Times New Roman"/>
          <w:sz w:val="24"/>
          <w:szCs w:val="24"/>
          <w:highlight w:val="white"/>
        </w:rPr>
        <w:t xml:space="preserve"> (2019)</w:t>
      </w:r>
    </w:p>
    <w:p w14:paraId="034E7056" w14:textId="77777777" w:rsidR="008322BC" w:rsidRDefault="006265D5">
      <w:pPr>
        <w:numPr>
          <w:ilvl w:val="0"/>
          <w:numId w:val="2"/>
        </w:numPr>
        <w:spacing w:after="0"/>
        <w:ind w:left="0" w:hanging="2"/>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Miembro de la Beta Delta International </w:t>
      </w:r>
      <w:proofErr w:type="spellStart"/>
      <w:r>
        <w:rPr>
          <w:rFonts w:ascii="Times New Roman" w:eastAsia="Times New Roman" w:hAnsi="Times New Roman" w:cs="Times New Roman"/>
          <w:sz w:val="24"/>
          <w:szCs w:val="24"/>
          <w:highlight w:val="white"/>
        </w:rPr>
        <w:t>Scholars</w:t>
      </w:r>
      <w:proofErr w:type="spellEnd"/>
      <w:r>
        <w:rPr>
          <w:rFonts w:ascii="Times New Roman" w:eastAsia="Times New Roman" w:hAnsi="Times New Roman" w:cs="Times New Roman"/>
          <w:sz w:val="24"/>
          <w:szCs w:val="24"/>
          <w:highlight w:val="white"/>
        </w:rPr>
        <w:t xml:space="preserve"> Honor </w:t>
      </w:r>
      <w:proofErr w:type="spellStart"/>
      <w:r>
        <w:rPr>
          <w:rFonts w:ascii="Times New Roman" w:eastAsia="Times New Roman" w:hAnsi="Times New Roman" w:cs="Times New Roman"/>
          <w:sz w:val="24"/>
          <w:szCs w:val="24"/>
          <w:highlight w:val="white"/>
        </w:rPr>
        <w:t>Society</w:t>
      </w:r>
      <w:proofErr w:type="spellEnd"/>
      <w:r>
        <w:rPr>
          <w:rFonts w:ascii="Times New Roman" w:eastAsia="Times New Roman" w:hAnsi="Times New Roman" w:cs="Times New Roman"/>
          <w:sz w:val="24"/>
          <w:szCs w:val="24"/>
          <w:highlight w:val="white"/>
        </w:rPr>
        <w:t xml:space="preserve"> (2018)</w:t>
      </w:r>
    </w:p>
    <w:p w14:paraId="73383D0D" w14:textId="77777777" w:rsidR="008322BC" w:rsidRDefault="008322BC">
      <w:pPr>
        <w:spacing w:after="0"/>
        <w:ind w:left="0" w:hanging="2"/>
        <w:rPr>
          <w:rFonts w:ascii="Times New Roman" w:eastAsia="Times New Roman" w:hAnsi="Times New Roman" w:cs="Times New Roman"/>
          <w:color w:val="222222"/>
          <w:sz w:val="24"/>
          <w:szCs w:val="24"/>
          <w:highlight w:val="white"/>
        </w:rPr>
      </w:pPr>
    </w:p>
    <w:p w14:paraId="4F8B0333" w14:textId="77777777" w:rsidR="008322BC" w:rsidRDefault="008322BC">
      <w:pPr>
        <w:spacing w:after="0" w:line="240" w:lineRule="auto"/>
        <w:ind w:left="0" w:hanging="2"/>
        <w:jc w:val="both"/>
        <w:rPr>
          <w:rFonts w:ascii="Arial" w:eastAsia="Arial" w:hAnsi="Arial" w:cs="Arial"/>
          <w:color w:val="000000"/>
        </w:rPr>
      </w:pPr>
    </w:p>
    <w:sectPr w:rsidR="008322BC">
      <w:headerReference w:type="default" r:id="rId10"/>
      <w:footerReference w:type="default" r:id="rId11"/>
      <w:pgSz w:w="11906" w:h="16838"/>
      <w:pgMar w:top="851" w:right="1418" w:bottom="851" w:left="1418" w:header="170" w:footer="17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CE292" w14:textId="77777777" w:rsidR="00000000" w:rsidRDefault="006265D5">
      <w:pPr>
        <w:spacing w:after="0" w:line="240" w:lineRule="auto"/>
        <w:ind w:left="0" w:hanging="2"/>
      </w:pPr>
      <w:r>
        <w:separator/>
      </w:r>
    </w:p>
  </w:endnote>
  <w:endnote w:type="continuationSeparator" w:id="0">
    <w:p w14:paraId="112521CB" w14:textId="77777777" w:rsidR="00000000" w:rsidRDefault="006265D5">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80CBB" w14:textId="77777777" w:rsidR="008322BC" w:rsidRDefault="006265D5">
    <w:pPr>
      <w:pBdr>
        <w:top w:val="nil"/>
        <w:left w:val="nil"/>
        <w:bottom w:val="nil"/>
        <w:right w:val="nil"/>
        <w:between w:val="nil"/>
      </w:pBdr>
      <w:spacing w:after="0" w:line="240" w:lineRule="auto"/>
      <w:ind w:left="0" w:hanging="2"/>
      <w:jc w:val="center"/>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Pr>
        <w:rFonts w:ascii="Arial" w:eastAsia="Arial" w:hAnsi="Arial" w:cs="Arial"/>
        <w:noProof/>
        <w:color w:val="000000"/>
        <w:sz w:val="20"/>
        <w:szCs w:val="20"/>
      </w:rPr>
      <w:t>1</w:t>
    </w:r>
    <w:r>
      <w:rPr>
        <w:rFonts w:ascii="Arial" w:eastAsia="Arial" w:hAnsi="Arial" w:cs="Arial"/>
        <w:color w:val="000000"/>
        <w:sz w:val="20"/>
        <w:szCs w:val="20"/>
      </w:rPr>
      <w:fldChar w:fldCharType="end"/>
    </w:r>
    <w:r>
      <w:rPr>
        <w:rFonts w:ascii="Arial" w:eastAsia="Arial" w:hAnsi="Arial" w:cs="Arial"/>
        <w:color w:val="000000"/>
        <w:sz w:val="20"/>
        <w:szCs w:val="20"/>
      </w:rPr>
      <w:t xml:space="preserve"> de 4 / Currículum abreviado</w:t>
    </w:r>
  </w:p>
  <w:p w14:paraId="3F4D4D75" w14:textId="77777777" w:rsidR="008322BC" w:rsidRDefault="008322BC">
    <w:pPr>
      <w:pBdr>
        <w:top w:val="nil"/>
        <w:left w:val="nil"/>
        <w:bottom w:val="nil"/>
        <w:right w:val="nil"/>
        <w:between w:val="nil"/>
      </w:pBdr>
      <w:spacing w:after="0" w:line="240" w:lineRule="auto"/>
      <w:ind w:left="0" w:hanging="2"/>
      <w:jc w:val="center"/>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6A674" w14:textId="77777777" w:rsidR="00000000" w:rsidRDefault="006265D5">
      <w:pPr>
        <w:spacing w:after="0" w:line="240" w:lineRule="auto"/>
        <w:ind w:left="0" w:hanging="2"/>
      </w:pPr>
      <w:r>
        <w:separator/>
      </w:r>
    </w:p>
  </w:footnote>
  <w:footnote w:type="continuationSeparator" w:id="0">
    <w:p w14:paraId="301E88C0" w14:textId="77777777" w:rsidR="00000000" w:rsidRDefault="006265D5">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06219" w14:textId="77777777" w:rsidR="008322BC" w:rsidRDefault="006265D5">
    <w:pPr>
      <w:pBdr>
        <w:top w:val="nil"/>
        <w:left w:val="nil"/>
        <w:bottom w:val="nil"/>
        <w:right w:val="nil"/>
        <w:between w:val="nil"/>
      </w:pBdr>
      <w:spacing w:after="0" w:line="240" w:lineRule="auto"/>
      <w:ind w:left="0" w:hanging="2"/>
      <w:rPr>
        <w:color w:val="000000"/>
      </w:rPr>
    </w:pPr>
    <w:r>
      <w:rPr>
        <w:noProof/>
      </w:rPr>
      <mc:AlternateContent>
        <mc:Choice Requires="wpg">
          <w:drawing>
            <wp:anchor distT="0" distB="0" distL="114300" distR="114300" simplePos="0" relativeHeight="251658240" behindDoc="0" locked="0" layoutInCell="1" hidden="0" allowOverlap="1" wp14:anchorId="7FEE0651" wp14:editId="6975506D">
              <wp:simplePos x="0" y="0"/>
              <wp:positionH relativeFrom="column">
                <wp:posOffset>635000</wp:posOffset>
              </wp:positionH>
              <wp:positionV relativeFrom="paragraph">
                <wp:posOffset>0</wp:posOffset>
              </wp:positionV>
              <wp:extent cx="5943600" cy="400050"/>
              <wp:effectExtent l="0" t="0" r="0" b="0"/>
              <wp:wrapNone/>
              <wp:docPr id="1" name=""/>
              <wp:cNvGraphicFramePr/>
              <a:graphic xmlns:a="http://schemas.openxmlformats.org/drawingml/2006/main">
                <a:graphicData uri="http://schemas.microsoft.com/office/word/2010/wordprocessingShape">
                  <wps:wsp>
                    <wps:cNvSpPr/>
                    <wps:spPr>
                      <a:xfrm>
                        <a:off x="2378963" y="3584738"/>
                        <a:ext cx="5934075" cy="390525"/>
                      </a:xfrm>
                      <a:prstGeom prst="rect">
                        <a:avLst/>
                      </a:prstGeom>
                      <a:solidFill>
                        <a:srgbClr val="FFFF00"/>
                      </a:solidFill>
                      <a:ln w="9525" cap="flat" cmpd="sng">
                        <a:solidFill>
                          <a:srgbClr val="000000"/>
                        </a:solidFill>
                        <a:prstDash val="solid"/>
                        <a:miter lim="800000"/>
                        <a:headEnd type="none" w="sm" len="sm"/>
                        <a:tailEnd type="none" w="sm" len="sm"/>
                      </a:ln>
                    </wps:spPr>
                    <wps:txbx>
                      <w:txbxContent>
                        <w:p w14:paraId="1A720265" w14:textId="77777777" w:rsidR="008322BC" w:rsidRDefault="008322BC">
                          <w:pPr>
                            <w:spacing w:after="0" w:line="240" w:lineRule="auto"/>
                            <w:ind w:left="0" w:hanging="2"/>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635000</wp:posOffset>
              </wp:positionH>
              <wp:positionV relativeFrom="paragraph">
                <wp:posOffset>0</wp:posOffset>
              </wp:positionV>
              <wp:extent cx="5943600" cy="400050"/>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43600" cy="400050"/>
                      </a:xfrm>
                      <a:prstGeom prst="rect"/>
                      <a:ln/>
                    </pic:spPr>
                  </pic:pic>
                </a:graphicData>
              </a:graphic>
            </wp:anchor>
          </w:drawing>
        </mc:Fallback>
      </mc:AlternateContent>
    </w:r>
    <w:r>
      <w:rPr>
        <w:noProof/>
      </w:rPr>
      <w:drawing>
        <wp:anchor distT="0" distB="0" distL="114300" distR="114300" simplePos="0" relativeHeight="251659264" behindDoc="0" locked="0" layoutInCell="1" hidden="0" allowOverlap="1" wp14:anchorId="549B614E" wp14:editId="67F0C2E7">
          <wp:simplePos x="0" y="0"/>
          <wp:positionH relativeFrom="column">
            <wp:posOffset>-757554</wp:posOffset>
          </wp:positionH>
          <wp:positionV relativeFrom="paragraph">
            <wp:posOffset>6350</wp:posOffset>
          </wp:positionV>
          <wp:extent cx="1305560" cy="342900"/>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1305560" cy="342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4500D"/>
    <w:multiLevelType w:val="multilevel"/>
    <w:tmpl w:val="9C7E3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A075B43"/>
    <w:multiLevelType w:val="multilevel"/>
    <w:tmpl w:val="A456F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2BC"/>
    <w:rsid w:val="006265D5"/>
    <w:rsid w:val="008322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A8000"/>
  <w15:docId w15:val="{E2E1008F-CD68-4320-85BA-0CEF47963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qFormat/>
    <w:pPr>
      <w:spacing w:after="0" w:line="240" w:lineRule="auto"/>
    </w:pPr>
  </w:style>
  <w:style w:type="character" w:customStyle="1" w:styleId="EncabezadoCar">
    <w:name w:val="Encabezado Car"/>
    <w:basedOn w:val="Fuentedeprrafopredeter"/>
    <w:rPr>
      <w:w w:val="100"/>
      <w:position w:val="-1"/>
      <w:effect w:val="none"/>
      <w:vertAlign w:val="baseline"/>
      <w:cs w:val="0"/>
      <w:em w:val="none"/>
    </w:rPr>
  </w:style>
  <w:style w:type="paragraph" w:styleId="Piedepgina">
    <w:name w:val="footer"/>
    <w:basedOn w:val="Normal"/>
    <w:qFormat/>
    <w:pPr>
      <w:spacing w:after="0" w:line="240" w:lineRule="auto"/>
    </w:pPr>
  </w:style>
  <w:style w:type="character" w:customStyle="1" w:styleId="PiedepginaCar">
    <w:name w:val="Pie de página Car"/>
    <w:basedOn w:val="Fuentedeprrafopredeter"/>
    <w:rPr>
      <w:w w:val="100"/>
      <w:position w:val="-1"/>
      <w:effect w:val="none"/>
      <w:vertAlign w:val="baseline"/>
      <w:cs w:val="0"/>
      <w:em w:val="none"/>
    </w:rPr>
  </w:style>
  <w:style w:type="paragraph" w:styleId="Prrafodelista">
    <w:name w:val="List Paragraph"/>
    <w:basedOn w:val="Normal"/>
    <w:pPr>
      <w:ind w:left="720"/>
      <w:contextualSpacing/>
    </w:pPr>
  </w:style>
  <w:style w:type="paragraph" w:styleId="Textodeglobo">
    <w:name w:val="Balloon Text"/>
    <w:basedOn w:val="Normal"/>
    <w:qFormat/>
    <w:pPr>
      <w:spacing w:after="0" w:line="240" w:lineRule="auto"/>
    </w:pPr>
    <w:rPr>
      <w:rFonts w:ascii="Tahoma" w:hAnsi="Tahoma"/>
      <w:sz w:val="16"/>
      <w:szCs w:val="16"/>
      <w:lang/>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table" w:styleId="Tablaconcuadrcula">
    <w:name w:val="Table Grid"/>
    <w:basedOn w:val="Tablanormal"/>
    <w:pPr>
      <w:suppressAutoHyphens/>
      <w:spacing w:after="0" w:line="240" w:lineRule="auto"/>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unam.m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rep.org.br/ARTICLES_VIEWS.ASP?COD=1557"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Ce1pNV+DQuRa8pfKxZCUbqTEw==">AMUW2mXx4s+bNGowPzZrl1YqILHRTt2NbdrV12gr6Og7EaN603hHaLWia2IxTBugK7BRStl0gBqp0YTQlB/k0K5UZivruhw4ChCduF1IXSw8ZHc6uwRinfQ=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1032</Words>
  <Characters>5677</Characters>
  <Application>Microsoft Office Word</Application>
  <DocSecurity>0</DocSecurity>
  <Lines>47</Lines>
  <Paragraphs>13</Paragraphs>
  <ScaleCrop>false</ScaleCrop>
  <Company/>
  <LinksUpToDate>false</LinksUpToDate>
  <CharactersWithSpaces>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Franch Meneu, M.Asuncion</dc:creator>
  <cp:lastModifiedBy>MARIA CONCEPCION FERNANDEZ VILLANUEVA</cp:lastModifiedBy>
  <cp:revision>2</cp:revision>
  <dcterms:created xsi:type="dcterms:W3CDTF">2021-10-25T16:42:00Z</dcterms:created>
  <dcterms:modified xsi:type="dcterms:W3CDTF">2021-10-25T16:42:00Z</dcterms:modified>
</cp:coreProperties>
</file>