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2">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widowControl w:val="0"/>
        <w:spacing w:before="197"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widowControl w:val="0"/>
        <w:spacing w:before="1" w:line="240" w:lineRule="auto"/>
        <w:ind w:right="282"/>
        <w:jc w:val="right"/>
        <w:rPr>
          <w:rFonts w:ascii="Cambria" w:cs="Cambria" w:eastAsia="Cambria" w:hAnsi="Cambria"/>
          <w:b w:val="1"/>
          <w:sz w:val="20"/>
          <w:szCs w:val="20"/>
        </w:rPr>
      </w:pPr>
      <w:r w:rsidDel="00000000" w:rsidR="00000000" w:rsidRPr="00000000">
        <w:rPr>
          <w:rFonts w:ascii="Cambria" w:cs="Cambria" w:eastAsia="Cambria" w:hAnsi="Cambria"/>
          <w:b w:val="1"/>
          <w:sz w:val="20"/>
          <w:szCs w:val="20"/>
          <w:rtl w:val="0"/>
        </w:rPr>
        <w:t xml:space="preserve">Brussels, 3.2.2025</w:t>
      </w:r>
      <w:r w:rsidDel="00000000" w:rsidR="00000000" w:rsidRPr="00000000">
        <w:drawing>
          <wp:anchor allowOverlap="1" behindDoc="0" distB="0" distT="0" distL="0" distR="0" hidden="0" layoutInCell="1" locked="0" relativeHeight="0" simplePos="0">
            <wp:simplePos x="0" y="0"/>
            <wp:positionH relativeFrom="column">
              <wp:posOffset>241161</wp:posOffset>
            </wp:positionH>
            <wp:positionV relativeFrom="paragraph">
              <wp:posOffset>-423398</wp:posOffset>
            </wp:positionV>
            <wp:extent cx="2098244" cy="677301"/>
            <wp:effectExtent b="0" l="0" r="0" t="0"/>
            <wp:wrapNone/>
            <wp:docPr id="9"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098244" cy="677301"/>
                    </a:xfrm>
                    <a:prstGeom prst="rect"/>
                    <a:ln/>
                  </pic:spPr>
                </pic:pic>
              </a:graphicData>
            </a:graphic>
          </wp:anchor>
        </w:drawing>
      </w:r>
    </w:p>
    <w:p w:rsidR="00000000" w:rsidDel="00000000" w:rsidP="00000000" w:rsidRDefault="00000000" w:rsidRPr="00000000" w14:paraId="00000006">
      <w:pPr>
        <w:widowControl w:val="0"/>
        <w:spacing w:before="92" w:line="667" w:lineRule="auto"/>
        <w:ind w:left="7863" w:right="282" w:hanging="271.0000000000002"/>
        <w:jc w:val="right"/>
        <w:rPr>
          <w:rFonts w:ascii="Cambria" w:cs="Cambria" w:eastAsia="Cambria" w:hAnsi="Cambria"/>
          <w:b w:val="1"/>
          <w:sz w:val="20"/>
          <w:szCs w:val="20"/>
        </w:rPr>
      </w:pPr>
      <w:r w:rsidDel="00000000" w:rsidR="00000000" w:rsidRPr="00000000">
        <w:rPr>
          <w:rFonts w:ascii="Cambria" w:cs="Cambria" w:eastAsia="Cambria" w:hAnsi="Cambria"/>
          <w:b w:val="1"/>
          <w:sz w:val="20"/>
          <w:szCs w:val="20"/>
          <w:rtl w:val="0"/>
        </w:rPr>
        <w:t xml:space="preserve">COM(2025) 101 final 2025/0101 (COD)</w:t>
      </w:r>
    </w:p>
    <w:p w:rsidR="00000000" w:rsidDel="00000000" w:rsidP="00000000" w:rsidRDefault="00000000" w:rsidRPr="00000000" w14:paraId="00000007">
      <w:pPr>
        <w:widowControl w:val="0"/>
        <w:spacing w:line="240" w:lineRule="auto"/>
        <w:rPr>
          <w:rFonts w:ascii="Cambria" w:cs="Cambria" w:eastAsia="Cambria" w:hAnsi="Cambria"/>
          <w:b w:val="1"/>
          <w:sz w:val="26"/>
          <w:szCs w:val="26"/>
        </w:rPr>
      </w:pPr>
      <w:r w:rsidDel="00000000" w:rsidR="00000000" w:rsidRPr="00000000">
        <w:rPr>
          <w:rtl w:val="0"/>
        </w:rPr>
      </w:r>
    </w:p>
    <w:p w:rsidR="00000000" w:rsidDel="00000000" w:rsidP="00000000" w:rsidRDefault="00000000" w:rsidRPr="00000000" w14:paraId="00000008">
      <w:pPr>
        <w:widowControl w:val="0"/>
        <w:spacing w:line="240" w:lineRule="auto"/>
        <w:rPr>
          <w:rFonts w:ascii="Cambria" w:cs="Cambria" w:eastAsia="Cambria" w:hAnsi="Cambria"/>
          <w:b w:val="1"/>
          <w:sz w:val="26"/>
          <w:szCs w:val="26"/>
        </w:rPr>
      </w:pPr>
      <w:r w:rsidDel="00000000" w:rsidR="00000000" w:rsidRPr="00000000">
        <w:rPr>
          <w:rtl w:val="0"/>
        </w:rPr>
      </w:r>
    </w:p>
    <w:p w:rsidR="00000000" w:rsidDel="00000000" w:rsidP="00000000" w:rsidRDefault="00000000" w:rsidRPr="00000000" w14:paraId="00000009">
      <w:pPr>
        <w:widowControl w:val="0"/>
        <w:spacing w:line="240" w:lineRule="auto"/>
        <w:rPr>
          <w:rFonts w:ascii="Cambria" w:cs="Cambria" w:eastAsia="Cambria" w:hAnsi="Cambria"/>
          <w:b w:val="1"/>
          <w:sz w:val="26"/>
          <w:szCs w:val="26"/>
        </w:rPr>
      </w:pPr>
      <w:r w:rsidDel="00000000" w:rsidR="00000000" w:rsidRPr="00000000">
        <w:rPr>
          <w:rtl w:val="0"/>
        </w:rPr>
      </w:r>
    </w:p>
    <w:p w:rsidR="00000000" w:rsidDel="00000000" w:rsidP="00000000" w:rsidRDefault="00000000" w:rsidRPr="00000000" w14:paraId="0000000A">
      <w:pPr>
        <w:widowControl w:val="0"/>
        <w:spacing w:line="240" w:lineRule="auto"/>
        <w:rPr>
          <w:rFonts w:ascii="Cambria" w:cs="Cambria" w:eastAsia="Cambria" w:hAnsi="Cambria"/>
          <w:b w:val="1"/>
          <w:sz w:val="26"/>
          <w:szCs w:val="26"/>
        </w:rPr>
      </w:pPr>
      <w:r w:rsidDel="00000000" w:rsidR="00000000" w:rsidRPr="00000000">
        <w:rPr>
          <w:rtl w:val="0"/>
        </w:rPr>
      </w:r>
    </w:p>
    <w:p w:rsidR="00000000" w:rsidDel="00000000" w:rsidP="00000000" w:rsidRDefault="00000000" w:rsidRPr="00000000" w14:paraId="0000000B">
      <w:pPr>
        <w:widowControl w:val="0"/>
        <w:spacing w:line="240" w:lineRule="auto"/>
        <w:rPr>
          <w:rFonts w:ascii="Cambria" w:cs="Cambria" w:eastAsia="Cambria" w:hAnsi="Cambria"/>
          <w:b w:val="1"/>
          <w:sz w:val="26"/>
          <w:szCs w:val="26"/>
        </w:rPr>
      </w:pPr>
      <w:r w:rsidDel="00000000" w:rsidR="00000000" w:rsidRPr="00000000">
        <w:rPr>
          <w:rtl w:val="0"/>
        </w:rPr>
      </w:r>
    </w:p>
    <w:p w:rsidR="00000000" w:rsidDel="00000000" w:rsidP="00000000" w:rsidRDefault="00000000" w:rsidRPr="00000000" w14:paraId="0000000C">
      <w:pPr>
        <w:widowControl w:val="0"/>
        <w:spacing w:line="240" w:lineRule="auto"/>
        <w:rPr>
          <w:rFonts w:ascii="Cambria" w:cs="Cambria" w:eastAsia="Cambria" w:hAnsi="Cambria"/>
          <w:b w:val="1"/>
          <w:sz w:val="26"/>
          <w:szCs w:val="26"/>
        </w:rPr>
      </w:pPr>
      <w:r w:rsidDel="00000000" w:rsidR="00000000" w:rsidRPr="00000000">
        <w:rPr>
          <w:rtl w:val="0"/>
        </w:rPr>
      </w:r>
    </w:p>
    <w:p w:rsidR="00000000" w:rsidDel="00000000" w:rsidP="00000000" w:rsidRDefault="00000000" w:rsidRPr="00000000" w14:paraId="0000000D">
      <w:pPr>
        <w:widowControl w:val="0"/>
        <w:spacing w:line="240" w:lineRule="auto"/>
        <w:rPr>
          <w:rFonts w:ascii="Cambria" w:cs="Cambria" w:eastAsia="Cambria" w:hAnsi="Cambria"/>
          <w:b w:val="1"/>
          <w:sz w:val="26"/>
          <w:szCs w:val="26"/>
        </w:rPr>
      </w:pPr>
      <w:r w:rsidDel="00000000" w:rsidR="00000000" w:rsidRPr="00000000">
        <w:rPr>
          <w:rtl w:val="0"/>
        </w:rPr>
      </w:r>
    </w:p>
    <w:p w:rsidR="00000000" w:rsidDel="00000000" w:rsidP="00000000" w:rsidRDefault="00000000" w:rsidRPr="00000000" w14:paraId="0000000E">
      <w:pPr>
        <w:widowControl w:val="0"/>
        <w:spacing w:before="175" w:line="240" w:lineRule="auto"/>
        <w:rPr>
          <w:rFonts w:ascii="Cambria" w:cs="Cambria" w:eastAsia="Cambria" w:hAnsi="Cambria"/>
          <w:b w:val="1"/>
          <w:sz w:val="26"/>
          <w:szCs w:val="26"/>
        </w:rPr>
      </w:pPr>
      <w:r w:rsidDel="00000000" w:rsidR="00000000" w:rsidRPr="00000000">
        <w:rPr>
          <w:rtl w:val="0"/>
        </w:rPr>
      </w:r>
    </w:p>
    <w:p w:rsidR="00000000" w:rsidDel="00000000" w:rsidP="00000000" w:rsidRDefault="00000000" w:rsidRPr="00000000" w14:paraId="0000000F">
      <w:pPr>
        <w:widowControl w:val="0"/>
        <w:spacing w:line="240" w:lineRule="auto"/>
        <w:ind w:left="655" w:right="245"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Proposal of a</w:t>
      </w:r>
    </w:p>
    <w:p w:rsidR="00000000" w:rsidDel="00000000" w:rsidP="00000000" w:rsidRDefault="00000000" w:rsidRPr="00000000" w14:paraId="00000010">
      <w:pPr>
        <w:pStyle w:val="Title"/>
        <w:keepNext w:val="0"/>
        <w:keepLines w:val="0"/>
        <w:widowControl w:val="0"/>
        <w:spacing w:after="0" w:before="92" w:line="240" w:lineRule="auto"/>
        <w:ind w:left="655" w:right="245"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DIRECTIVE (EU) 2025/… OF THE EUROPEAN COMMISSION</w:t>
      </w:r>
    </w:p>
    <w:p w:rsidR="00000000" w:rsidDel="00000000" w:rsidP="00000000" w:rsidRDefault="00000000" w:rsidRPr="00000000" w14:paraId="00000011">
      <w:pPr>
        <w:widowControl w:val="0"/>
        <w:spacing w:before="287" w:line="230" w:lineRule="auto"/>
        <w:ind w:left="655" w:right="243"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relating to a better gender balance between directors of listed companies and small and medium-sized enterprises (SMEs) and related measures amending Directive 2022/2381</w:t>
      </w:r>
    </w:p>
    <w:p w:rsidR="00000000" w:rsidDel="00000000" w:rsidP="00000000" w:rsidRDefault="00000000" w:rsidRPr="00000000" w14:paraId="00000012">
      <w:pPr>
        <w:widowControl w:val="0"/>
        <w:spacing w:before="263"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widowControl w:val="0"/>
        <w:spacing w:line="240" w:lineRule="auto"/>
        <w:ind w:left="655" w:right="245" w:firstLine="0"/>
        <w:jc w:val="center"/>
        <w:rPr>
          <w:rFonts w:ascii="Cambria" w:cs="Cambria" w:eastAsia="Cambria" w:hAnsi="Cambria"/>
          <w:sz w:val="23"/>
          <w:szCs w:val="23"/>
        </w:rPr>
        <w:sectPr>
          <w:pgSz w:h="16834" w:w="11909" w:orient="portrait"/>
          <w:pgMar w:bottom="1440" w:top="1440" w:left="1440" w:right="1440" w:header="720" w:footer="720"/>
          <w:pgNumType w:start="1"/>
        </w:sectPr>
      </w:pPr>
      <w:r w:rsidDel="00000000" w:rsidR="00000000" w:rsidRPr="00000000">
        <w:rPr>
          <w:rFonts w:ascii="Cambria" w:cs="Cambria" w:eastAsia="Cambria" w:hAnsi="Cambria"/>
          <w:sz w:val="23"/>
          <w:szCs w:val="23"/>
          <w:rtl w:val="0"/>
        </w:rPr>
        <w:t xml:space="preserve">(Text relevant for EEA purposes)</w:t>
      </w:r>
    </w:p>
    <w:p w:rsidR="00000000" w:rsidDel="00000000" w:rsidP="00000000" w:rsidRDefault="00000000" w:rsidRPr="00000000" w14:paraId="00000014">
      <w:pPr>
        <w:widowControl w:val="0"/>
        <w:spacing w:before="34"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15">
      <w:pPr>
        <w:widowControl w:val="0"/>
        <w:spacing w:line="240" w:lineRule="auto"/>
        <w:ind w:left="515" w:firstLine="0"/>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THE EUROPEAN PARLIAMENT AND THE COUNCIL OF THE EUROPEAN UNIONa,</w:t>
      </w:r>
    </w:p>
    <w:p w:rsidR="00000000" w:rsidDel="00000000" w:rsidP="00000000" w:rsidRDefault="00000000" w:rsidRPr="00000000" w14:paraId="00000016">
      <w:pPr>
        <w:widowControl w:val="0"/>
        <w:spacing w:before="155"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17">
      <w:pPr>
        <w:widowControl w:val="0"/>
        <w:spacing w:line="626" w:lineRule="auto"/>
        <w:ind w:left="515" w:right="1305" w:firstLine="0"/>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Having regard to the Treaty on the Functioning of the European Union, and in particular its Article 157(3), Having regard to the proposal of the European Commission,</w:t>
      </w:r>
    </w:p>
    <w:p w:rsidR="00000000" w:rsidDel="00000000" w:rsidP="00000000" w:rsidRDefault="00000000" w:rsidRPr="00000000" w14:paraId="00000018">
      <w:pPr>
        <w:widowControl w:val="0"/>
        <w:spacing w:line="624" w:lineRule="auto"/>
        <w:ind w:left="515" w:right="2819" w:firstLine="0"/>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After transmission of the draft legislative act to the national Parliaments, Having regard to the opinion of the European Economic and Social Committee (</w:t>
      </w:r>
      <w:r w:rsidDel="00000000" w:rsidR="00000000" w:rsidRPr="00000000">
        <w:rPr>
          <w:rFonts w:ascii="Cambria" w:cs="Cambria" w:eastAsia="Cambria" w:hAnsi="Cambria"/>
          <w:sz w:val="18"/>
          <w:szCs w:val="18"/>
          <w:vertAlign w:val="superscript"/>
          <w:rtl w:val="0"/>
        </w:rPr>
        <w:t xml:space="preserve">1</w:t>
      </w:r>
      <w:r w:rsidDel="00000000" w:rsidR="00000000" w:rsidRPr="00000000">
        <w:rPr>
          <w:rFonts w:ascii="Cambria" w:cs="Cambria" w:eastAsia="Cambria" w:hAnsi="Cambria"/>
          <w:sz w:val="18"/>
          <w:szCs w:val="18"/>
          <w:rtl w:val="0"/>
        </w:rPr>
        <w:t xml:space="preserve">),</w:t>
      </w:r>
    </w:p>
    <w:p w:rsidR="00000000" w:rsidDel="00000000" w:rsidP="00000000" w:rsidRDefault="00000000" w:rsidRPr="00000000" w14:paraId="00000019">
      <w:pPr>
        <w:widowControl w:val="0"/>
        <w:spacing w:line="240" w:lineRule="auto"/>
        <w:ind w:left="515" w:firstLine="0"/>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Having regard to the opinion of the Committee of the Regions (</w:t>
      </w:r>
      <w:r w:rsidDel="00000000" w:rsidR="00000000" w:rsidRPr="00000000">
        <w:rPr>
          <w:rFonts w:ascii="Cambria" w:cs="Cambria" w:eastAsia="Cambria" w:hAnsi="Cambria"/>
          <w:sz w:val="18"/>
          <w:szCs w:val="18"/>
          <w:vertAlign w:val="superscript"/>
          <w:rtl w:val="0"/>
        </w:rPr>
        <w:t xml:space="preserve">2</w:t>
      </w:r>
      <w:r w:rsidDel="00000000" w:rsidR="00000000" w:rsidRPr="00000000">
        <w:rPr>
          <w:rFonts w:ascii="Cambria" w:cs="Cambria" w:eastAsia="Cambria" w:hAnsi="Cambria"/>
          <w:sz w:val="18"/>
          <w:szCs w:val="18"/>
          <w:rtl w:val="0"/>
        </w:rPr>
        <w:t xml:space="preserve">),</w:t>
      </w:r>
    </w:p>
    <w:p w:rsidR="00000000" w:rsidDel="00000000" w:rsidP="00000000" w:rsidRDefault="00000000" w:rsidRPr="00000000" w14:paraId="0000001A">
      <w:pPr>
        <w:widowControl w:val="0"/>
        <w:spacing w:before="130"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1B">
      <w:pPr>
        <w:widowControl w:val="0"/>
        <w:spacing w:before="1" w:line="626" w:lineRule="auto"/>
        <w:ind w:left="515" w:right="3521" w:firstLine="0"/>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In accordance with the ordinary legislative procedure (</w:t>
      </w:r>
      <w:r w:rsidDel="00000000" w:rsidR="00000000" w:rsidRPr="00000000">
        <w:rPr>
          <w:rFonts w:ascii="Cambria" w:cs="Cambria" w:eastAsia="Cambria" w:hAnsi="Cambria"/>
          <w:sz w:val="18"/>
          <w:szCs w:val="18"/>
          <w:vertAlign w:val="superscript"/>
          <w:rtl w:val="0"/>
        </w:rPr>
        <w:t xml:space="preserve">3</w:t>
      </w:r>
      <w:r w:rsidDel="00000000" w:rsidR="00000000" w:rsidRPr="00000000">
        <w:rPr>
          <w:rFonts w:ascii="Cambria" w:cs="Cambria" w:eastAsia="Cambria" w:hAnsi="Cambria"/>
          <w:sz w:val="18"/>
          <w:szCs w:val="18"/>
          <w:rtl w:val="0"/>
        </w:rPr>
        <w:t xml:space="preserve">), Considering the following:</w:t>
      </w:r>
    </w:p>
    <w:p w:rsidR="00000000" w:rsidDel="00000000" w:rsidP="00000000" w:rsidRDefault="00000000" w:rsidRPr="00000000" w14:paraId="0000001C">
      <w:pPr>
        <w:widowControl w:val="0"/>
        <w:numPr>
          <w:ilvl w:val="0"/>
          <w:numId w:val="3"/>
        </w:numPr>
        <w:tabs>
          <w:tab w:val="left" w:leader="none" w:pos="1025"/>
        </w:tabs>
        <w:spacing w:before="4" w:line="230" w:lineRule="auto"/>
        <w:ind w:left="1025" w:right="107"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In accordance with Article 2 of the Treaty on European Union (TEU), equality is a fundamental value of the Union and is common to the Member States in a society characterized by equality between women and men. Under Article 3(3) TEU, the Union must promote equality between women and men.</w:t>
      </w:r>
    </w:p>
    <w:p w:rsidR="00000000" w:rsidDel="00000000" w:rsidP="00000000" w:rsidRDefault="00000000" w:rsidRPr="00000000" w14:paraId="0000001D">
      <w:pPr>
        <w:widowControl w:val="0"/>
        <w:spacing w:before="141"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1E">
      <w:pPr>
        <w:widowControl w:val="0"/>
        <w:numPr>
          <w:ilvl w:val="0"/>
          <w:numId w:val="3"/>
        </w:numPr>
        <w:tabs>
          <w:tab w:val="left" w:leader="none" w:pos="1025"/>
        </w:tabs>
        <w:spacing w:line="230" w:lineRule="auto"/>
        <w:ind w:left="1025" w:right="112"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Article 157(3) of the Treaty on the Functioning of the European Union (TFEU) confers on the European Parliament and the Council the power to adopt measures to ensure the application of the principle of equal opportunities and equal treatment for men and women in matters of employment and occupation.</w:t>
      </w:r>
    </w:p>
    <w:p w:rsidR="00000000" w:rsidDel="00000000" w:rsidP="00000000" w:rsidRDefault="00000000" w:rsidRPr="00000000" w14:paraId="0000001F">
      <w:pPr>
        <w:widowControl w:val="0"/>
        <w:spacing w:before="142"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20">
      <w:pPr>
        <w:widowControl w:val="0"/>
        <w:numPr>
          <w:ilvl w:val="0"/>
          <w:numId w:val="3"/>
        </w:numPr>
        <w:tabs>
          <w:tab w:val="left" w:leader="none" w:pos="1025"/>
        </w:tabs>
        <w:spacing w:line="230" w:lineRule="auto"/>
        <w:ind w:left="1025" w:right="102"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In order to ensure in practice full equality between men and women in working life, Article 157(4) TFEU authorizes positive action by allowing Member States to maintain or adopt measures offering specific advantages aimed at facilitating the less represented sex in the exercise of professional activities or at avoiding or compensating for disadvantages in their professional careers. Article 23 of the Charter of Fundamental Rights of the European Union (hereinafter "Charter") establishes that equality between women and men must be guaranteed in all areas and that the principle of equality does not prevent the maintenance or adoption of measures that provide concrete advantages in favor of the less represented sex.</w:t>
      </w:r>
    </w:p>
    <w:p w:rsidR="00000000" w:rsidDel="00000000" w:rsidP="00000000" w:rsidRDefault="00000000" w:rsidRPr="00000000" w14:paraId="00000021">
      <w:pPr>
        <w:widowControl w:val="0"/>
        <w:spacing w:before="141"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22">
      <w:pPr>
        <w:widowControl w:val="0"/>
        <w:numPr>
          <w:ilvl w:val="0"/>
          <w:numId w:val="3"/>
        </w:numPr>
        <w:tabs>
          <w:tab w:val="left" w:leader="none" w:pos="1025"/>
        </w:tabs>
        <w:spacing w:line="230" w:lineRule="auto"/>
        <w:ind w:left="1025" w:right="104"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The European Pillar of Social Rights, which was jointly proclaimed by the European Parliament, the Council and the Commission in 2017, incorporates among its principles equal treatment and opportunities between women and men, also with regard to participation in the labor market, working and employment conditions and careers.</w:t>
      </w:r>
    </w:p>
    <w:p w:rsidR="00000000" w:rsidDel="00000000" w:rsidP="00000000" w:rsidRDefault="00000000" w:rsidRPr="00000000" w14:paraId="00000023">
      <w:pPr>
        <w:widowControl w:val="0"/>
        <w:spacing w:before="144"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24">
      <w:pPr>
        <w:widowControl w:val="0"/>
        <w:numPr>
          <w:ilvl w:val="0"/>
          <w:numId w:val="3"/>
        </w:numPr>
        <w:tabs>
          <w:tab w:val="left" w:leader="none" w:pos="1025"/>
        </w:tabs>
        <w:spacing w:line="230" w:lineRule="auto"/>
        <w:ind w:left="1025" w:right="103"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Achieving gender equality in the workplace requires a comprehensive approach, which, among other things, promotes gender-balanced decision-making in societies at all levels, as well as the elimination of the pay gap between men and women. Ensuring equality in the workplace is also a fundamental precondition for reducing poverty among women.</w:t>
      </w:r>
    </w:p>
    <w:p w:rsidR="00000000" w:rsidDel="00000000" w:rsidP="00000000" w:rsidRDefault="00000000" w:rsidRPr="00000000" w14:paraId="00000025">
      <w:pPr>
        <w:widowControl w:val="0"/>
        <w:spacing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26">
      <w:pPr>
        <w:widowControl w:val="0"/>
        <w:spacing w:before="112"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27">
      <w:pPr>
        <w:widowControl w:val="0"/>
        <w:numPr>
          <w:ilvl w:val="0"/>
          <w:numId w:val="3"/>
        </w:numPr>
        <w:tabs>
          <w:tab w:val="left" w:leader="none" w:pos="1025"/>
        </w:tabs>
        <w:spacing w:line="232" w:lineRule="auto"/>
        <w:ind w:left="1025" w:right="103"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This Directive aims to ensure the application of the principle of equal opportunities between women and men and to achieve balanced gender representation in senior management positions, by establishing a series of procedural requirements relating to the selection of candidates for appointment or election to administrator positions, on the basis of transparency and merit criteria; and as derived from Directive 2022/2381 of the European Parliament and the Council.</w:t>
      </w:r>
    </w:p>
    <w:p w:rsidR="00000000" w:rsidDel="00000000" w:rsidP="00000000" w:rsidRDefault="00000000" w:rsidRPr="00000000" w14:paraId="00000028">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29">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2A">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2B">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2C">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2D">
      <w:pPr>
        <w:widowControl w:val="0"/>
        <w:spacing w:before="58" w:line="240" w:lineRule="auto"/>
        <w:rPr>
          <w:rFonts w:ascii="Cambria" w:cs="Cambria" w:eastAsia="Cambria" w:hAnsi="Cambria"/>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266700</wp:posOffset>
                </wp:positionH>
                <wp:positionV relativeFrom="paragraph">
                  <wp:posOffset>190500</wp:posOffset>
                </wp:positionV>
                <wp:extent cx="1828800" cy="12700"/>
                <wp:effectExtent b="0" l="0" r="0" t="0"/>
                <wp:wrapTopAndBottom distB="0" distT="0"/>
                <wp:docPr id="7" name=""/>
                <a:graphic>
                  <a:graphicData uri="http://schemas.microsoft.com/office/word/2010/wordprocessingShape">
                    <wps:wsp>
                      <wps:cNvSpPr/>
                      <wps:cNvPr id="21" name="Shape 21"/>
                      <wps:spPr>
                        <a:xfrm>
                          <a:off x="4431600" y="3779365"/>
                          <a:ext cx="1828800" cy="1270"/>
                        </a:xfrm>
                        <a:custGeom>
                          <a:rect b="b" l="l" r="r" t="t"/>
                          <a:pathLst>
                            <a:path extrusionOk="0" h="120000" w="1828800">
                              <a:moveTo>
                                <a:pt x="0" y="0"/>
                              </a:moveTo>
                              <a:lnTo>
                                <a:pt x="18288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266700</wp:posOffset>
                </wp:positionH>
                <wp:positionV relativeFrom="paragraph">
                  <wp:posOffset>190500</wp:posOffset>
                </wp:positionV>
                <wp:extent cx="1828800" cy="12700"/>
                <wp:effectExtent b="0" l="0" r="0" t="0"/>
                <wp:wrapTopAndBottom distB="0" distT="0"/>
                <wp:docPr id="7"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02E">
      <w:pPr>
        <w:widowControl w:val="0"/>
        <w:spacing w:before="128" w:line="240" w:lineRule="auto"/>
        <w:ind w:left="425" w:firstLine="0"/>
        <w:rPr>
          <w:rFonts w:ascii="Cambria" w:cs="Cambria" w:eastAsia="Cambria" w:hAnsi="Cambria"/>
          <w:sz w:val="18"/>
          <w:szCs w:val="18"/>
        </w:rPr>
      </w:pPr>
      <w:r w:rsidDel="00000000" w:rsidR="00000000" w:rsidRPr="00000000">
        <w:rPr>
          <w:rFonts w:ascii="Cambria" w:cs="Cambria" w:eastAsia="Cambria" w:hAnsi="Cambria"/>
          <w:sz w:val="17"/>
          <w:szCs w:val="17"/>
          <w:vertAlign w:val="superscript"/>
          <w:rtl w:val="0"/>
        </w:rPr>
        <w:t xml:space="preserve">1</w:t>
      </w:r>
      <w:r w:rsidDel="00000000" w:rsidR="00000000" w:rsidRPr="00000000">
        <w:rPr>
          <w:rFonts w:ascii="Cambria" w:cs="Cambria" w:eastAsia="Cambria" w:hAnsi="Cambria"/>
          <w:sz w:val="17"/>
          <w:szCs w:val="17"/>
          <w:rtl w:val="0"/>
        </w:rPr>
        <w:t xml:space="preserve"> .</w:t>
      </w:r>
      <w:r w:rsidDel="00000000" w:rsidR="00000000" w:rsidRPr="00000000">
        <w:rPr>
          <w:rFonts w:ascii="Cambria" w:cs="Cambria" w:eastAsia="Cambria" w:hAnsi="Cambria"/>
          <w:sz w:val="18"/>
          <w:szCs w:val="18"/>
          <w:rtl w:val="0"/>
        </w:rPr>
        <w:t xml:space="preserve">DOC133de9.5.2013, p.68.</w:t>
      </w:r>
    </w:p>
    <w:p w:rsidR="00000000" w:rsidDel="00000000" w:rsidP="00000000" w:rsidRDefault="00000000" w:rsidRPr="00000000" w14:paraId="0000002F">
      <w:pPr>
        <w:widowControl w:val="0"/>
        <w:spacing w:before="24" w:line="240" w:lineRule="auto"/>
        <w:ind w:left="425" w:firstLine="0"/>
        <w:rPr>
          <w:rFonts w:ascii="Cambria" w:cs="Cambria" w:eastAsia="Cambria" w:hAnsi="Cambria"/>
          <w:sz w:val="18"/>
          <w:szCs w:val="18"/>
        </w:rPr>
        <w:sectPr>
          <w:type w:val="nextPage"/>
          <w:pgSz w:h="16834" w:w="11909" w:orient="portrait"/>
          <w:pgMar w:bottom="280" w:top="1940" w:left="850" w:right="1275" w:header="360" w:footer="360"/>
        </w:sectPr>
      </w:pPr>
      <w:r w:rsidDel="00000000" w:rsidR="00000000" w:rsidRPr="00000000">
        <w:rPr>
          <w:rFonts w:ascii="Cambria" w:cs="Cambria" w:eastAsia="Cambria" w:hAnsi="Cambria"/>
          <w:sz w:val="18"/>
          <w:szCs w:val="18"/>
          <w:vertAlign w:val="superscript"/>
          <w:rtl w:val="0"/>
        </w:rPr>
        <w:t xml:space="preserve">2</w:t>
      </w:r>
      <w:r w:rsidDel="00000000" w:rsidR="00000000" w:rsidRPr="00000000">
        <w:rPr>
          <w:rFonts w:ascii="Cambria" w:cs="Cambria" w:eastAsia="Cambria" w:hAnsi="Cambria"/>
          <w:sz w:val="18"/>
          <w:szCs w:val="18"/>
          <w:rtl w:val="0"/>
        </w:rPr>
        <w:t xml:space="preserve"> DOC218de30.7.2013,p.33.</w:t>
      </w:r>
    </w:p>
    <w:p w:rsidR="00000000" w:rsidDel="00000000" w:rsidP="00000000" w:rsidRDefault="00000000" w:rsidRPr="00000000" w14:paraId="00000030">
      <w:pPr>
        <w:widowControl w:val="0"/>
        <w:spacing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1">
      <w:pPr>
        <w:widowControl w:val="0"/>
        <w:spacing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2">
      <w:pPr>
        <w:widowControl w:val="0"/>
        <w:spacing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3">
      <w:pPr>
        <w:widowControl w:val="0"/>
        <w:spacing w:before="176"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4">
      <w:pPr>
        <w:widowControl w:val="0"/>
        <w:numPr>
          <w:ilvl w:val="0"/>
          <w:numId w:val="3"/>
        </w:numPr>
        <w:tabs>
          <w:tab w:val="left" w:leader="none" w:pos="1025"/>
        </w:tabs>
        <w:spacing w:line="232" w:lineRule="auto"/>
        <w:ind w:left="1025" w:right="103"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This Directive aims to ensure the application of the principle of equal opportunities between women and men and to achieve balanced gender representation in senior management positions, by establishing a series of procedural requirements relating to the selection of candidates for appointment or election to administrator positions, on the basis of transparency and merit criteria; and as derived from Directive 2022/2381 of the European Parliament and the Council.</w:t>
      </w:r>
    </w:p>
    <w:p w:rsidR="00000000" w:rsidDel="00000000" w:rsidP="00000000" w:rsidRDefault="00000000" w:rsidRPr="00000000" w14:paraId="00000035">
      <w:pPr>
        <w:widowControl w:val="0"/>
        <w:spacing w:before="142"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6">
      <w:pPr>
        <w:widowControl w:val="0"/>
        <w:numPr>
          <w:ilvl w:val="0"/>
          <w:numId w:val="3"/>
        </w:numPr>
        <w:tabs>
          <w:tab w:val="left" w:leader="none" w:pos="1025"/>
        </w:tabs>
        <w:spacing w:before="1" w:line="232" w:lineRule="auto"/>
        <w:ind w:left="1025" w:right="88"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In recent years, the Commission has presented several reports taking stock of the situation regarding gender equality in economic decision-making. It has encouraged listed companies and SMEs to increase the number of members of the underrepresented sex on their boards of directors through self-regulation measures and to make concrete voluntary commitments in this regard. In its Communication of 5 March 2010 entitled "A strengthened commitment to equality between women and men – A Women's Charter", the Commission underlined that women still do not have full access to power-sharing and decision-making in political and economic life, as well as in the public and private sectors, and reaffirmed its commitment to use its powers to fight for fairer representation of women and men in positions of power in public life and the economy. Improving gender balance in decision-making was one of the priorities set out by the Commission in its Communication of 21 September 2010 entitled "Strategy for equality between women and men 2010-2015". Achieving gender balance in decision-making and politics is one of the priorities set out in the Commission Communication of 5 March 2020 entitled "A Union of Equality: Strategy for Gender Equality 2025-2030".</w:t>
      </w:r>
    </w:p>
    <w:p w:rsidR="00000000" w:rsidDel="00000000" w:rsidP="00000000" w:rsidRDefault="00000000" w:rsidRPr="00000000" w14:paraId="00000037">
      <w:pPr>
        <w:widowControl w:val="0"/>
        <w:spacing w:before="136"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8">
      <w:pPr>
        <w:widowControl w:val="0"/>
        <w:numPr>
          <w:ilvl w:val="0"/>
          <w:numId w:val="3"/>
        </w:numPr>
        <w:tabs>
          <w:tab w:val="left" w:leader="none" w:pos="1025"/>
        </w:tabs>
        <w:spacing w:line="232" w:lineRule="auto"/>
        <w:ind w:left="1025" w:right="88"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In its Conclusions of 7 March 2011 on the European Pact for Gender Equality (2011-2020), the Council recognized that gender equality policies are vital for economic growth, prosperity and competitiveness. In it, it reiterated its commitment to reducing gender inequalities in order to achieve the objectives of the Europe 2025 Strategy, especially in three areas of great relevance for gender equality, namely employment, education and the promotion of social inclusion. It also urged that action be taken to promote equal participation of women and men in the decision-making process at all levels and in all areas, in order to take full advantage of all capacities. In this regard, harnessing all existing skills, knowledge and ideas would enrich the diversity of human resources and improve business prospects.</w:t>
      </w:r>
    </w:p>
    <w:p w:rsidR="00000000" w:rsidDel="00000000" w:rsidP="00000000" w:rsidRDefault="00000000" w:rsidRPr="00000000" w14:paraId="00000039">
      <w:pPr>
        <w:widowControl w:val="0"/>
        <w:numPr>
          <w:ilvl w:val="0"/>
          <w:numId w:val="3"/>
        </w:numPr>
        <w:tabs>
          <w:tab w:val="left" w:leader="none" w:pos="1025"/>
        </w:tabs>
        <w:spacing w:before="93" w:line="230" w:lineRule="auto"/>
        <w:ind w:left="1025" w:right="87"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The European Parliament, in its resolution of 6 July 2011 on women and company management, called on companies to reach the critical percentage of 30% women in management bodies by 2015 and 40% by 2020. It asked the Commission, if companies and Member States had not voluntarily taken sufficient measures, to consider adopting measures by 2012 legislative, including quotas. It would be important that such legislative measures be implemented on a temporary basis and serve to drive change and carry out rapid reforms aimed at eliminating persistent gender inequalities and stereotypes in economic decision-making. The European Parliament insisted on its request for legislative measures in its Resolutions of March 13, 2012 and January 21, 2021.</w:t>
      </w:r>
    </w:p>
    <w:p w:rsidR="00000000" w:rsidDel="00000000" w:rsidP="00000000" w:rsidRDefault="00000000" w:rsidRPr="00000000" w14:paraId="0000003A">
      <w:pPr>
        <w:widowControl w:val="0"/>
        <w:numPr>
          <w:ilvl w:val="0"/>
          <w:numId w:val="3"/>
        </w:numPr>
        <w:tabs>
          <w:tab w:val="left" w:leader="none" w:pos="1025"/>
        </w:tabs>
        <w:spacing w:before="96" w:line="230" w:lineRule="auto"/>
        <w:ind w:left="1025" w:right="92"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It is important that societies and businesses encourage, support and develop female talent at all levels and throughout their professional careers to ensure that qualified women have opportunities to occupy management and management positions.</w:t>
      </w:r>
    </w:p>
    <w:p w:rsidR="00000000" w:rsidDel="00000000" w:rsidP="00000000" w:rsidRDefault="00000000" w:rsidRPr="00000000" w14:paraId="0000003B">
      <w:pPr>
        <w:widowControl w:val="0"/>
        <w:spacing w:before="88"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C">
      <w:pPr>
        <w:widowControl w:val="0"/>
        <w:numPr>
          <w:ilvl w:val="0"/>
          <w:numId w:val="3"/>
        </w:numPr>
        <w:tabs>
          <w:tab w:val="left" w:leader="none" w:pos="1025"/>
        </w:tabs>
        <w:spacing w:line="232" w:lineRule="auto"/>
        <w:ind w:left="1025" w:right="88"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In order to promote gender equality and support the participation of women in decision-making, Directive (EU) 2019/1158 of the European Parliament and of the Council </w:t>
      </w:r>
      <w:r w:rsidDel="00000000" w:rsidR="00000000" w:rsidRPr="00000000">
        <w:rPr>
          <w:rFonts w:ascii="Cambria" w:cs="Cambria" w:eastAsia="Cambria" w:hAnsi="Cambria"/>
          <w:sz w:val="18"/>
          <w:szCs w:val="18"/>
          <w:vertAlign w:val="superscript"/>
          <w:rtl w:val="0"/>
        </w:rPr>
        <w:t xml:space="preserve">3</w:t>
      </w:r>
      <w:r w:rsidDel="00000000" w:rsidR="00000000" w:rsidRPr="00000000">
        <w:rPr>
          <w:rFonts w:ascii="Cambria" w:cs="Cambria" w:eastAsia="Cambria" w:hAnsi="Cambria"/>
          <w:sz w:val="18"/>
          <w:szCs w:val="18"/>
          <w:rtl w:val="0"/>
        </w:rPr>
        <w:t xml:space="preserve">), which promotes the reconciliation of family and professional life for parents and carers, requires Member States to adopt the necessary measures to ensure an equal distribution of responsibilities for caring for family members between women and men through parental leave, paternity leave and carer's leave, in addition to the existing maternity leave. This Directive also establishes the right to request flexible work arrangements.</w:t>
      </w:r>
    </w:p>
    <w:p w:rsidR="00000000" w:rsidDel="00000000" w:rsidP="00000000" w:rsidRDefault="00000000" w:rsidRPr="00000000" w14:paraId="0000003D">
      <w:pPr>
        <w:widowControl w:val="0"/>
        <w:spacing w:before="4"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E">
      <w:pPr>
        <w:widowControl w:val="0"/>
        <w:numPr>
          <w:ilvl w:val="0"/>
          <w:numId w:val="3"/>
        </w:numPr>
        <w:tabs>
          <w:tab w:val="left" w:leader="none" w:pos="1025"/>
        </w:tabs>
        <w:spacing w:line="230" w:lineRule="auto"/>
        <w:ind w:left="1025" w:right="89" w:hanging="510"/>
        <w:jc w:val="both"/>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The Union has a large pool of highly qualified women, which continues to grow, as demonstrated by the fact that 60% of university graduates are women. Achieving gender balance on boards of directors is essential if we want to make efficient use of this existing reserve, which is essential to face the demographic and economic challenges of the Union. Thus, the underrepresentation of women on boards of directors is a lost opportunity for the economies of the Member States in general, as well as for their development and growth. Making full use of the existing female talent pool would also improve educational outcomes to the benefit of both individuals and the public sector. It is generally recognized that the presence of women on boards of directors improves corporate governance, increasing team performance and the quality of decision-making thanks to a more varied and collective mindset that incorporates a range of perspectives.</w:t>
      </w:r>
    </w:p>
    <w:p w:rsidR="00000000" w:rsidDel="00000000" w:rsidP="00000000" w:rsidRDefault="00000000" w:rsidRPr="00000000" w14:paraId="0000003F">
      <w:pPr>
        <w:widowControl w:val="0"/>
        <w:spacing w:before="17" w:line="240" w:lineRule="auto"/>
        <w:rPr>
          <w:rFonts w:ascii="Cambria" w:cs="Cambria" w:eastAsia="Cambria" w:hAnsi="Cambria"/>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266700</wp:posOffset>
                </wp:positionH>
                <wp:positionV relativeFrom="paragraph">
                  <wp:posOffset>165100</wp:posOffset>
                </wp:positionV>
                <wp:extent cx="1828800" cy="12700"/>
                <wp:effectExtent b="0" l="0" r="0" t="0"/>
                <wp:wrapTopAndBottom distB="0" distT="0"/>
                <wp:docPr id="6" name=""/>
                <a:graphic>
                  <a:graphicData uri="http://schemas.microsoft.com/office/word/2010/wordprocessingShape">
                    <wps:wsp>
                      <wps:cNvSpPr/>
                      <wps:cNvPr id="20" name="Shape 20"/>
                      <wps:spPr>
                        <a:xfrm>
                          <a:off x="4431600" y="3779365"/>
                          <a:ext cx="1828800" cy="1270"/>
                        </a:xfrm>
                        <a:custGeom>
                          <a:rect b="b" l="l" r="r" t="t"/>
                          <a:pathLst>
                            <a:path extrusionOk="0" h="120000" w="1828800">
                              <a:moveTo>
                                <a:pt x="0" y="0"/>
                              </a:moveTo>
                              <a:lnTo>
                                <a:pt x="18288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266700</wp:posOffset>
                </wp:positionH>
                <wp:positionV relativeFrom="paragraph">
                  <wp:posOffset>165100</wp:posOffset>
                </wp:positionV>
                <wp:extent cx="1828800" cy="12700"/>
                <wp:effectExtent b="0" l="0" r="0" t="0"/>
                <wp:wrapTopAndBottom distB="0" distT="0"/>
                <wp:docPr id="6"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040">
      <w:pPr>
        <w:widowControl w:val="0"/>
        <w:spacing w:before="131" w:line="242" w:lineRule="auto"/>
        <w:ind w:left="425" w:right="47" w:firstLine="0"/>
        <w:rPr>
          <w:rFonts w:ascii="Cambria" w:cs="Cambria" w:eastAsia="Cambria" w:hAnsi="Cambria"/>
          <w:sz w:val="16"/>
          <w:szCs w:val="16"/>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6"/>
          <w:szCs w:val="16"/>
          <w:vertAlign w:val="superscript"/>
          <w:rtl w:val="0"/>
        </w:rPr>
        <w:t xml:space="preserve">3</w:t>
      </w:r>
      <w:r w:rsidDel="00000000" w:rsidR="00000000" w:rsidRPr="00000000">
        <w:rPr>
          <w:rFonts w:ascii="Cambria" w:cs="Cambria" w:eastAsia="Cambria" w:hAnsi="Cambria"/>
          <w:sz w:val="16"/>
          <w:szCs w:val="16"/>
          <w:rtl w:val="0"/>
        </w:rPr>
        <w:t xml:space="preserve"> position</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Cambria" w:cs="Cambria" w:eastAsia="Cambria" w:hAnsi="Cambria"/>
          <w:sz w:val="16"/>
          <w:szCs w:val="16"/>
          <w:rtl w:val="0"/>
        </w:rPr>
        <w:t xml:space="preserve">n of the European Parliament of 20 November 2013 (DOC436 of 24.11.2016, p.225) and Position</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Cambria" w:cs="Cambria" w:eastAsia="Cambria" w:hAnsi="Cambria"/>
          <w:sz w:val="16"/>
          <w:szCs w:val="16"/>
          <w:rtl w:val="0"/>
        </w:rPr>
        <w:t xml:space="preserve">n of the Council at first reading of October 17, 2022 (pending publication</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Cambria" w:cs="Cambria" w:eastAsia="Cambria" w:hAnsi="Cambria"/>
          <w:sz w:val="16"/>
          <w:szCs w:val="16"/>
          <w:rtl w:val="0"/>
        </w:rPr>
        <w:t xml:space="preserve">n in the Official Gazette). Position</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Cambria" w:cs="Cambria" w:eastAsia="Cambria" w:hAnsi="Cambria"/>
          <w:sz w:val="16"/>
          <w:szCs w:val="16"/>
          <w:rtl w:val="0"/>
        </w:rPr>
        <w:t xml:space="preserve">n of the European Parliament of 17 October 2022 (OJ C 433, 15.11.2022, p. 14).</w:t>
      </w:r>
    </w:p>
    <w:p w:rsidR="00000000" w:rsidDel="00000000" w:rsidP="00000000" w:rsidRDefault="00000000" w:rsidRPr="00000000" w14:paraId="00000041">
      <w:pPr>
        <w:widowControl w:val="0"/>
        <w:spacing w:before="152"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42">
      <w:pPr>
        <w:widowControl w:val="0"/>
        <w:spacing w:line="230" w:lineRule="auto"/>
        <w:ind w:left="1025" w:right="90" w:firstLine="0"/>
        <w:jc w:val="both"/>
        <w:rPr>
          <w:rFonts w:ascii="Cambria" w:cs="Cambria" w:eastAsia="Cambria" w:hAnsi="Cambria"/>
          <w:sz w:val="19"/>
          <w:szCs w:val="19"/>
        </w:rPr>
      </w:pPr>
      <w:r w:rsidDel="00000000" w:rsidR="00000000" w:rsidRPr="00000000">
        <w:rPr>
          <w:rFonts w:ascii="Cambria" w:cs="Cambria" w:eastAsia="Cambria" w:hAnsi="Cambria"/>
          <w:sz w:val="18"/>
          <w:szCs w:val="18"/>
          <w:rtl w:val="0"/>
        </w:rPr>
        <w:t xml:space="preserve">wider. Numerous studies have shown that diversity translates into a more proactive business model, more balanced decisions and improved professional skills on boards of directors that better reflect social realities and consumer needs. It also encourages innovation. Likewise, many studies have demonstrated the existence of a positive relationship between gender diversity in senior management and the financial results and profitability of a company, which entails a </w:t>
      </w:r>
      <w:r w:rsidDel="00000000" w:rsidR="00000000" w:rsidRPr="00000000">
        <w:rPr>
          <w:rFonts w:ascii="Cambria" w:cs="Cambria" w:eastAsia="Cambria" w:hAnsi="Cambria"/>
          <w:sz w:val="19"/>
          <w:szCs w:val="19"/>
          <w:rtl w:val="0"/>
        </w:rPr>
        <w:t xml:space="preserve">significant long-term sustainable growth. Achieving gender balance on boards of directors is therefore of vital importance to ensure the Union's competitiveness in a globalized economy and would offer a comparative advantage with respect to third countries.</w:t>
      </w:r>
    </w:p>
    <w:p w:rsidR="00000000" w:rsidDel="00000000" w:rsidP="00000000" w:rsidRDefault="00000000" w:rsidRPr="00000000" w14:paraId="00000043">
      <w:pPr>
        <w:widowControl w:val="0"/>
        <w:spacing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44">
      <w:pPr>
        <w:widowControl w:val="0"/>
        <w:spacing w:before="8" w:line="240"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45">
      <w:pPr>
        <w:widowControl w:val="0"/>
        <w:numPr>
          <w:ilvl w:val="0"/>
          <w:numId w:val="3"/>
        </w:numPr>
        <w:tabs>
          <w:tab w:val="left" w:leader="none" w:pos="1021"/>
          <w:tab w:val="left" w:leader="none" w:pos="1025"/>
        </w:tabs>
        <w:spacing w:line="232" w:lineRule="auto"/>
        <w:ind w:left="1025" w:right="106"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Increasing the representation of women on boards of directors not only affects women appointed to boards of directors, but also helps attract female talent to the company and ensure a greater presence of women at all levels of management and in the workforce. Thus, a higher proportion of women on boards of directors is likely to contribute positively to reducing the gender gap in employment and the pay gap between men and women.</w:t>
      </w:r>
    </w:p>
    <w:p w:rsidR="00000000" w:rsidDel="00000000" w:rsidP="00000000" w:rsidRDefault="00000000" w:rsidRPr="00000000" w14:paraId="00000046">
      <w:pPr>
        <w:widowControl w:val="0"/>
        <w:spacing w:before="162"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47">
      <w:pPr>
        <w:widowControl w:val="0"/>
        <w:numPr>
          <w:ilvl w:val="0"/>
          <w:numId w:val="3"/>
        </w:numPr>
        <w:tabs>
          <w:tab w:val="left" w:leader="none" w:pos="1021"/>
          <w:tab w:val="left" w:leader="none" w:pos="1025"/>
        </w:tabs>
        <w:spacing w:line="232" w:lineRule="auto"/>
        <w:ind w:left="1025" w:right="105"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proportion of women on boards of directors has increased very slowly in recent years. The rate of increase has differed between Member States and led to very different results. Much more significant progress has been made in Member States that have adopted binding measures. This divergence is likely to increase as the approaches taken to improve gender balance on boards of directors are very different. Member States are therefore encouraged to share information on effective measures and policies they have adopted at national level, and to carry out an exchange of good practices, with a view to driving progress across the Union towards achieving a more balanced representation of women and men on boards of directors.</w:t>
      </w:r>
    </w:p>
    <w:p w:rsidR="00000000" w:rsidDel="00000000" w:rsidP="00000000" w:rsidRDefault="00000000" w:rsidRPr="00000000" w14:paraId="00000048">
      <w:pPr>
        <w:widowControl w:val="0"/>
        <w:numPr>
          <w:ilvl w:val="0"/>
          <w:numId w:val="3"/>
        </w:numPr>
        <w:tabs>
          <w:tab w:val="left" w:leader="none" w:pos="1021"/>
          <w:tab w:val="left" w:leader="none" w:pos="1025"/>
        </w:tabs>
        <w:spacing w:before="216" w:line="232" w:lineRule="auto"/>
        <w:ind w:left="1025" w:right="103"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dispersion and divergence of regulations or the lack of regulations at national level regarding gender balance on the boards of directors of listed companies and SMEs not only leads to discrepancies in the number of women among non-executive directors and different rates of improvement between Member States, but also poses obstacles to the internal market by imposing divergent requirements for the corporate governance of listed companies and SMEs in the Union. These differences in the legal and self-regulatory requirements applicable to the composition of boards of directors can lead to practical complications for listed companies and SMEs operating cross-border, in particular when establishing subsidiaries or in mergers and acquisitions, and for candidates for director positions.</w:t>
      </w:r>
    </w:p>
    <w:p w:rsidR="00000000" w:rsidDel="00000000" w:rsidP="00000000" w:rsidRDefault="00000000" w:rsidRPr="00000000" w14:paraId="00000049">
      <w:pPr>
        <w:widowControl w:val="0"/>
        <w:spacing w:before="168"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4A">
      <w:pPr>
        <w:widowControl w:val="0"/>
        <w:numPr>
          <w:ilvl w:val="0"/>
          <w:numId w:val="3"/>
        </w:numPr>
        <w:tabs>
          <w:tab w:val="left" w:leader="none" w:pos="1021"/>
          <w:tab w:val="left" w:leader="none" w:pos="1025"/>
        </w:tabs>
        <w:spacing w:line="232" w:lineRule="auto"/>
        <w:ind w:left="1025" w:right="104"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Gender imbalances in societies are greatest at the highest levels. In addition, many of the women who perform senior management functions occupy positions in sectors such as human resources and communication, while men who perform these types of functions usually occupy general management positions or as hierarchical superiors within the company. Given that the main recruitment pool for management positions is mainly made up of candidates with experience in senior management positions, it is vital to increase the number of women progressing into such management positions within companies.</w:t>
      </w:r>
    </w:p>
    <w:p w:rsidR="00000000" w:rsidDel="00000000" w:rsidP="00000000" w:rsidRDefault="00000000" w:rsidRPr="00000000" w14:paraId="0000004B">
      <w:pPr>
        <w:widowControl w:val="0"/>
        <w:spacing w:before="8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4C">
      <w:pPr>
        <w:widowControl w:val="0"/>
        <w:numPr>
          <w:ilvl w:val="0"/>
          <w:numId w:val="3"/>
        </w:numPr>
        <w:tabs>
          <w:tab w:val="left" w:leader="none" w:pos="1021"/>
          <w:tab w:val="left" w:leader="none" w:pos="1025"/>
        </w:tabs>
        <w:spacing w:line="230" w:lineRule="auto"/>
        <w:ind w:left="1025" w:right="106"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One of the main factors for the correct implementation of this Directive is the effective use of criteria for the selection of directors, which must be established in advance and with full transparency, and in which the qualifications, knowledge and skills of the candidates are taken into account impartially, regardless of their gender.</w:t>
      </w:r>
    </w:p>
    <w:p w:rsidR="00000000" w:rsidDel="00000000" w:rsidP="00000000" w:rsidRDefault="00000000" w:rsidRPr="00000000" w14:paraId="0000004D">
      <w:pPr>
        <w:widowControl w:val="0"/>
        <w:spacing w:before="85"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4E">
      <w:pPr>
        <w:widowControl w:val="0"/>
        <w:numPr>
          <w:ilvl w:val="0"/>
          <w:numId w:val="3"/>
        </w:numPr>
        <w:tabs>
          <w:tab w:val="left" w:leader="none" w:pos="1021"/>
          <w:tab w:val="left" w:leader="none" w:pos="1025"/>
        </w:tabs>
        <w:spacing w:line="230" w:lineRule="auto"/>
        <w:ind w:left="1025" w:right="103" w:hanging="510"/>
        <w:jc w:val="both"/>
        <w:rPr>
          <w:rFonts w:ascii="Cambria" w:cs="Cambria" w:eastAsia="Cambria" w:hAnsi="Cambria"/>
          <w:sz w:val="19"/>
          <w:szCs w:val="19"/>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9"/>
          <w:szCs w:val="19"/>
          <w:rtl w:val="0"/>
        </w:rPr>
        <w:t xml:space="preserve">The current lack of transparency in the selection processes and training criteria for director positions in most Member States constitutes a significant barrier to a greater gender balance among directors and has a negative impact on the careers of candidates for such positions, their freedom of movement, and the decisions of investors. This lack of transparency prevents potential candidates for director positions from applying to boards of directors where their training would be most necessary and from challenging sexist appointment decisions, thereby limiting their freedom of movement in the internal market. On the other hand, investors may have investment strategies that require such information to be provided, also linked to the experience and competence of the managers. Greater transparency in the training criteria and selection process for managers allows investors to better evaluate companies' business strategy and make informed decisions. It is therefore important that the procedures for appointing board members are clear and transparent and that candidates are evaluated objectively on the basis of their merits, regardless of their gender.</w:t>
      </w:r>
    </w:p>
    <w:p w:rsidR="00000000" w:rsidDel="00000000" w:rsidP="00000000" w:rsidRDefault="00000000" w:rsidRPr="00000000" w14:paraId="0000004F">
      <w:pPr>
        <w:widowControl w:val="0"/>
        <w:spacing w:before="141"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50">
      <w:pPr>
        <w:widowControl w:val="0"/>
        <w:numPr>
          <w:ilvl w:val="0"/>
          <w:numId w:val="3"/>
        </w:numPr>
        <w:tabs>
          <w:tab w:val="left" w:leader="none" w:pos="1021"/>
          <w:tab w:val="left" w:leader="none" w:pos="1025"/>
        </w:tabs>
        <w:spacing w:line="230" w:lineRule="auto"/>
        <w:ind w:left="1025" w:right="105"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Although this Directive is not intended to harmonize in detail national laws relating to the selection process and training criteria for director positions, in order to achieve gender balance it is necessary to establish certain minimum requirements for listed companies and SMEs where there is no balanced gender representation regarding the selection of candidates for appointment or election to director positions, based on a transparent and clearly defined selection process and an objective comparative assessment of their training that assesses aptitude, competence and professional benefits. Only a binding measure at Union level can effectively contribute to ensuring a level playing field throughout the Union and avoid practical complications for business life.</w:t>
      </w:r>
    </w:p>
    <w:p w:rsidR="00000000" w:rsidDel="00000000" w:rsidP="00000000" w:rsidRDefault="00000000" w:rsidRPr="00000000" w14:paraId="00000051">
      <w:pPr>
        <w:widowControl w:val="0"/>
        <w:spacing w:before="86"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52">
      <w:pPr>
        <w:widowControl w:val="0"/>
        <w:numPr>
          <w:ilvl w:val="0"/>
          <w:numId w:val="3"/>
        </w:numPr>
        <w:tabs>
          <w:tab w:val="left" w:leader="none" w:pos="1021"/>
          <w:tab w:val="left" w:leader="none" w:pos="1025"/>
        </w:tabs>
        <w:spacing w:line="230" w:lineRule="auto"/>
        <w:ind w:left="1025" w:right="106"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One of the main factors for the correct implementation of this Directive is the effective use of criteria for the selection of directors, which must be established in advance and with full transparency, and in which the qualifications, knowledge and skills of the candidates are taken into account impartially, regardless of their gender.</w:t>
      </w:r>
    </w:p>
    <w:p w:rsidR="00000000" w:rsidDel="00000000" w:rsidP="00000000" w:rsidRDefault="00000000" w:rsidRPr="00000000" w14:paraId="00000053">
      <w:pPr>
        <w:widowControl w:val="0"/>
        <w:spacing w:before="85"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54">
      <w:pPr>
        <w:widowControl w:val="0"/>
        <w:numPr>
          <w:ilvl w:val="0"/>
          <w:numId w:val="3"/>
        </w:numPr>
        <w:tabs>
          <w:tab w:val="left" w:leader="none" w:pos="1021"/>
          <w:tab w:val="left" w:leader="none" w:pos="1025"/>
        </w:tabs>
        <w:spacing w:before="1" w:line="230" w:lineRule="auto"/>
        <w:ind w:left="1025" w:right="111"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It is important that each listed company develops a gender equality policy in order to achieve more balanced gender representation at all levels. Such policies could include the appointment of two candidates, one woman and one man, for key positions, mentoring and career guidance programs for women, and human resources strategies designed to support diversification of recruitment.</w:t>
      </w:r>
    </w:p>
    <w:p w:rsidR="00000000" w:rsidDel="00000000" w:rsidP="00000000" w:rsidRDefault="00000000" w:rsidRPr="00000000" w14:paraId="00000055">
      <w:pPr>
        <w:widowControl w:val="0"/>
        <w:spacing w:before="84"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56">
      <w:pPr>
        <w:widowControl w:val="0"/>
        <w:numPr>
          <w:ilvl w:val="0"/>
          <w:numId w:val="3"/>
        </w:numPr>
        <w:tabs>
          <w:tab w:val="left" w:leader="none" w:pos="1021"/>
          <w:tab w:val="left" w:leader="none" w:pos="1025"/>
        </w:tabs>
        <w:spacing w:line="230" w:lineRule="auto"/>
        <w:ind w:left="1025" w:right="92"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Listed companies and SMEs have a special economic importance, public projection and impact throughout the market. These societies establish patterns of action for the economy as a whole, and it is to be expected that their practices will be followed by other types of societies. The public nature of listed companies and SMEs justifies that they are subject to greater regulation in the public interest.</w:t>
      </w:r>
    </w:p>
    <w:p w:rsidR="00000000" w:rsidDel="00000000" w:rsidP="00000000" w:rsidRDefault="00000000" w:rsidRPr="00000000" w14:paraId="00000057">
      <w:pPr>
        <w:widowControl w:val="0"/>
        <w:spacing w:before="78"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58">
      <w:pPr>
        <w:widowControl w:val="0"/>
        <w:numPr>
          <w:ilvl w:val="0"/>
          <w:numId w:val="3"/>
        </w:numPr>
        <w:tabs>
          <w:tab w:val="left" w:leader="none" w:pos="1021"/>
        </w:tabs>
        <w:spacing w:line="240" w:lineRule="auto"/>
        <w:ind w:left="1021" w:hanging="506"/>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measures established in this Directive should apply to listed companies.</w:t>
      </w:r>
    </w:p>
    <w:p w:rsidR="00000000" w:rsidDel="00000000" w:rsidP="00000000" w:rsidRDefault="00000000" w:rsidRPr="00000000" w14:paraId="00000059">
      <w:pPr>
        <w:widowControl w:val="0"/>
        <w:spacing w:before="7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5A">
      <w:pPr>
        <w:widowControl w:val="0"/>
        <w:numPr>
          <w:ilvl w:val="0"/>
          <w:numId w:val="3"/>
        </w:numPr>
        <w:tabs>
          <w:tab w:val="left" w:leader="none" w:pos="1021"/>
          <w:tab w:val="left" w:leader="none" w:pos="1025"/>
        </w:tabs>
        <w:spacing w:line="240" w:lineRule="auto"/>
        <w:ind w:left="1025" w:right="174"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This Directive should also apply to small and medium-sized enterprises (SMEs), provided that they meet the minimum requirements set out in Article 2 of this Directive.</w:t>
      </w:r>
    </w:p>
    <w:p w:rsidR="00000000" w:rsidDel="00000000" w:rsidP="00000000" w:rsidRDefault="00000000" w:rsidRPr="00000000" w14:paraId="0000005B">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5C">
      <w:pPr>
        <w:widowControl w:val="0"/>
        <w:numPr>
          <w:ilvl w:val="0"/>
          <w:numId w:val="3"/>
        </w:numPr>
        <w:tabs>
          <w:tab w:val="left" w:leader="none" w:pos="1021"/>
        </w:tabs>
        <w:spacing w:line="240" w:lineRule="auto"/>
        <w:ind w:left="1021" w:hanging="506"/>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This Directive should not apply to micro-enterprises.</w:t>
      </w:r>
    </w:p>
    <w:p w:rsidR="00000000" w:rsidDel="00000000" w:rsidP="00000000" w:rsidRDefault="00000000" w:rsidRPr="00000000" w14:paraId="0000005D">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5E">
      <w:pPr>
        <w:widowControl w:val="0"/>
        <w:numPr>
          <w:ilvl w:val="0"/>
          <w:numId w:val="3"/>
        </w:numPr>
        <w:tabs>
          <w:tab w:val="left" w:leader="none" w:pos="1021"/>
          <w:tab w:val="left" w:leader="none" w:pos="1025"/>
        </w:tabs>
        <w:spacing w:line="230" w:lineRule="auto"/>
        <w:ind w:left="1025" w:right="104"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For the purposes of this Directive, the Member State competent to regulate the issues dealt with therein must be the one in which the listed company or the SME concerned has its registered office. This Directive does not affect national rules that determine the law applicable to listed companies and SMEs in matters not regulated by this Directive.</w:t>
      </w:r>
    </w:p>
    <w:p w:rsidR="00000000" w:rsidDel="00000000" w:rsidP="00000000" w:rsidRDefault="00000000" w:rsidRPr="00000000" w14:paraId="0000005F">
      <w:pPr>
        <w:widowControl w:val="0"/>
        <w:numPr>
          <w:ilvl w:val="0"/>
          <w:numId w:val="3"/>
        </w:numPr>
        <w:tabs>
          <w:tab w:val="left" w:leader="none" w:pos="1021"/>
          <w:tab w:val="left" w:leader="none" w:pos="1025"/>
        </w:tabs>
        <w:spacing w:before="212" w:line="230" w:lineRule="auto"/>
        <w:ind w:left="1025" w:right="87"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management systems of listed companies and SMEs have different structures depending on the Member States: a distinction can be made mainly between the dual system, with a board of directors and a control board, and the single system, in which a single board of directors jointly exercises management and control functions. There are also mixed systems, which have characteristics of the previous two or that offer companies a choice between different models. This Directive should apply to all existing systems in the Member States.</w:t>
      </w:r>
    </w:p>
    <w:p w:rsidR="00000000" w:rsidDel="00000000" w:rsidP="00000000" w:rsidRDefault="00000000" w:rsidRPr="00000000" w14:paraId="00000060">
      <w:pPr>
        <w:widowControl w:val="0"/>
        <w:numPr>
          <w:ilvl w:val="0"/>
          <w:numId w:val="3"/>
        </w:numPr>
        <w:tabs>
          <w:tab w:val="left" w:leader="none" w:pos="1021"/>
          <w:tab w:val="left" w:leader="none" w:pos="1025"/>
        </w:tabs>
        <w:spacing w:before="94" w:line="232" w:lineRule="auto"/>
        <w:ind w:left="1025" w:right="87"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Whatever their structure, all boards of directors distinguish, </w:t>
      </w:r>
      <w:r w:rsidDel="00000000" w:rsidR="00000000" w:rsidRPr="00000000">
        <w:rPr>
          <w:rFonts w:ascii="Cambria" w:cs="Cambria" w:eastAsia="Cambria" w:hAnsi="Cambria"/>
          <w:i w:val="1"/>
          <w:sz w:val="19"/>
          <w:szCs w:val="19"/>
          <w:rtl w:val="0"/>
        </w:rPr>
        <w:t xml:space="preserve">de jure </w:t>
      </w:r>
      <w:r w:rsidDel="00000000" w:rsidR="00000000" w:rsidRPr="00000000">
        <w:rPr>
          <w:rFonts w:ascii="Cambria" w:cs="Cambria" w:eastAsia="Cambria" w:hAnsi="Cambria"/>
          <w:sz w:val="19"/>
          <w:szCs w:val="19"/>
          <w:rtl w:val="0"/>
        </w:rPr>
        <w:t xml:space="preserve">the </w:t>
      </w:r>
      <w:r w:rsidDel="00000000" w:rsidR="00000000" w:rsidRPr="00000000">
        <w:rPr>
          <w:rFonts w:ascii="Cambria" w:cs="Cambria" w:eastAsia="Cambria" w:hAnsi="Cambria"/>
          <w:i w:val="1"/>
          <w:sz w:val="19"/>
          <w:szCs w:val="19"/>
          <w:rtl w:val="0"/>
        </w:rPr>
        <w:t xml:space="preserve">in fact</w:t>
      </w:r>
      <w:r w:rsidDel="00000000" w:rsidR="00000000" w:rsidRPr="00000000">
        <w:rPr>
          <w:rFonts w:ascii="Cambria" w:cs="Cambria" w:eastAsia="Cambria" w:hAnsi="Cambria"/>
          <w:sz w:val="19"/>
          <w:szCs w:val="19"/>
          <w:rtl w:val="0"/>
        </w:rPr>
        <w:t xml:space="preserve">, between executive directors, who participate in the current management of the company, and non-executive directors, who perform a control function, but do not participate in the current management of the listed company. This Directive aims to improve the gender balance in both categories of directors. In order to strike the right balance between the need to increase the gender balance on boards of directors and the need to minimize interference in the day-to-day management of the company, this Directive establishes a distinction between these two categories of directors.</w:t>
      </w:r>
    </w:p>
    <w:p w:rsidR="00000000" w:rsidDel="00000000" w:rsidP="00000000" w:rsidRDefault="00000000" w:rsidRPr="00000000" w14:paraId="00000061">
      <w:pPr>
        <w:widowControl w:val="0"/>
        <w:numPr>
          <w:ilvl w:val="0"/>
          <w:numId w:val="3"/>
        </w:numPr>
        <w:tabs>
          <w:tab w:val="left" w:leader="none" w:pos="1021"/>
          <w:tab w:val="left" w:leader="none" w:pos="1025"/>
        </w:tabs>
        <w:spacing w:before="218" w:line="232" w:lineRule="auto"/>
        <w:ind w:left="1025" w:right="103" w:hanging="510"/>
        <w:jc w:val="both"/>
        <w:rPr>
          <w:rFonts w:ascii="Cambria" w:cs="Cambria" w:eastAsia="Cambria" w:hAnsi="Cambria"/>
          <w:sz w:val="19"/>
          <w:szCs w:val="19"/>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9"/>
          <w:szCs w:val="19"/>
          <w:rtl w:val="0"/>
        </w:rPr>
        <w:t xml:space="preserve">In several Member States, employees of companies, their organizations or both can or must, in accordance with national law or practice, appoint or elect a certain proportion of non-executive directors. The quantitative objectives set out in this Directive should also apply to these administrators. However, given that some non-executive directors are employee representatives, Member States should establish the means to ensure that those objectives are achieved, taking due account of the specific rules on the election or appointment of employee representatives set out in national law and respecting the freedom to vote in the election of employee representatives. Given the differences in national company law between Member States, Member States should be able to apply quantitative targets separately to shareholder representatives and employee representatives.</w:t>
      </w:r>
    </w:p>
    <w:p w:rsidR="00000000" w:rsidDel="00000000" w:rsidP="00000000" w:rsidRDefault="00000000" w:rsidRPr="00000000" w14:paraId="00000062">
      <w:pPr>
        <w:widowControl w:val="0"/>
        <w:spacing w:before="140"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63">
      <w:pPr>
        <w:widowControl w:val="0"/>
        <w:numPr>
          <w:ilvl w:val="0"/>
          <w:numId w:val="3"/>
        </w:numPr>
        <w:tabs>
          <w:tab w:val="left" w:leader="none" w:pos="1021"/>
          <w:tab w:val="left" w:leader="none" w:pos="1025"/>
        </w:tabs>
        <w:spacing w:line="232" w:lineRule="auto"/>
        <w:ind w:left="1025" w:right="102"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should subject listed companies and SMEs to either the objective of having boards of directors on which, by 30 June 2026 at the latest, at least 40% of the non-executive directors of listed companies and SMEs are of the underrepresented sex or, alternatively, given that it is important for companies to increase the proportion of the underrepresented sex in all decision-making positions, subject them to the objective of at least 33% of the total administrator positions are of the less represented sex, regardless of whether they are executives or not, in order to promote a more balanced gender representation among the group of administrators.</w:t>
      </w:r>
    </w:p>
    <w:p w:rsidR="00000000" w:rsidDel="00000000" w:rsidP="00000000" w:rsidRDefault="00000000" w:rsidRPr="00000000" w14:paraId="00000064">
      <w:pPr>
        <w:widowControl w:val="0"/>
        <w:spacing w:before="82"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65">
      <w:pPr>
        <w:widowControl w:val="0"/>
        <w:numPr>
          <w:ilvl w:val="0"/>
          <w:numId w:val="3"/>
        </w:numPr>
        <w:tabs>
          <w:tab w:val="left" w:leader="none" w:pos="1021"/>
          <w:tab w:val="left" w:leader="none" w:pos="1025"/>
        </w:tabs>
        <w:spacing w:line="232" w:lineRule="auto"/>
        <w:ind w:left="1025" w:right="87"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Whatever their structure, all boards of directors distinguish, </w:t>
      </w:r>
      <w:r w:rsidDel="00000000" w:rsidR="00000000" w:rsidRPr="00000000">
        <w:rPr>
          <w:rFonts w:ascii="Cambria" w:cs="Cambria" w:eastAsia="Cambria" w:hAnsi="Cambria"/>
          <w:i w:val="1"/>
          <w:sz w:val="19"/>
          <w:szCs w:val="19"/>
          <w:rtl w:val="0"/>
        </w:rPr>
        <w:t xml:space="preserve">de jure </w:t>
      </w:r>
      <w:r w:rsidDel="00000000" w:rsidR="00000000" w:rsidRPr="00000000">
        <w:rPr>
          <w:rFonts w:ascii="Cambria" w:cs="Cambria" w:eastAsia="Cambria" w:hAnsi="Cambria"/>
          <w:sz w:val="19"/>
          <w:szCs w:val="19"/>
          <w:rtl w:val="0"/>
        </w:rPr>
        <w:t xml:space="preserve">the </w:t>
      </w:r>
      <w:r w:rsidDel="00000000" w:rsidR="00000000" w:rsidRPr="00000000">
        <w:rPr>
          <w:rFonts w:ascii="Cambria" w:cs="Cambria" w:eastAsia="Cambria" w:hAnsi="Cambria"/>
          <w:i w:val="1"/>
          <w:sz w:val="19"/>
          <w:szCs w:val="19"/>
          <w:rtl w:val="0"/>
        </w:rPr>
        <w:t xml:space="preserve">in fact</w:t>
      </w:r>
      <w:r w:rsidDel="00000000" w:rsidR="00000000" w:rsidRPr="00000000">
        <w:rPr>
          <w:rFonts w:ascii="Cambria" w:cs="Cambria" w:eastAsia="Cambria" w:hAnsi="Cambria"/>
          <w:sz w:val="19"/>
          <w:szCs w:val="19"/>
          <w:rtl w:val="0"/>
        </w:rPr>
        <w:t xml:space="preserve">, between executive directors, who participate in the current management of the company, and non-executive directors, who perform a control function, but do not participate in the current management of the listed company. This Directive aims to improve the gender balance in both categories of directors. In order to strike the right balance between the need to increase the gender balance on boards of directors and the need to minimize interference in the day-to-day management of the company, this Directive establishes a distinction between these two categories of directors.</w:t>
      </w:r>
    </w:p>
    <w:p w:rsidR="00000000" w:rsidDel="00000000" w:rsidP="00000000" w:rsidRDefault="00000000" w:rsidRPr="00000000" w14:paraId="00000066">
      <w:pPr>
        <w:widowControl w:val="0"/>
        <w:spacing w:before="218"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67">
      <w:pPr>
        <w:widowControl w:val="0"/>
        <w:numPr>
          <w:ilvl w:val="0"/>
          <w:numId w:val="3"/>
        </w:numPr>
        <w:tabs>
          <w:tab w:val="left" w:leader="none" w:pos="1021"/>
          <w:tab w:val="left" w:leader="none" w:pos="1025"/>
        </w:tabs>
        <w:spacing w:line="232" w:lineRule="auto"/>
        <w:ind w:left="1025" w:right="91"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Due to their nature, public companies falling within the scope of this Directive should serve as models for the private sector. Member States exercise a dominant influence on public undertakings within the meaning of Article 2(b) of Commission Directive 2006/111/EC (</w:t>
      </w:r>
      <w:r w:rsidDel="00000000" w:rsidR="00000000" w:rsidRPr="00000000">
        <w:rPr>
          <w:rFonts w:ascii="Cambria" w:cs="Cambria" w:eastAsia="Cambria" w:hAnsi="Cambria"/>
          <w:sz w:val="16.666666666666668"/>
          <w:szCs w:val="16.666666666666668"/>
          <w:vertAlign w:val="superscript"/>
          <w:rtl w:val="0"/>
        </w:rPr>
        <w:t xml:space="preserve">8</w:t>
      </w:r>
      <w:r w:rsidDel="00000000" w:rsidR="00000000" w:rsidRPr="00000000">
        <w:rPr>
          <w:rFonts w:ascii="Cambria" w:cs="Cambria" w:eastAsia="Cambria" w:hAnsi="Cambria"/>
          <w:sz w:val="19"/>
          <w:szCs w:val="19"/>
          <w:rtl w:val="0"/>
        </w:rPr>
        <w:t xml:space="preserve">), which are listed on a regulated market. Due to this dominant influence, Member States have instruments to bring about the necessary change more quickly.</w:t>
      </w:r>
    </w:p>
    <w:p w:rsidR="00000000" w:rsidDel="00000000" w:rsidP="00000000" w:rsidRDefault="00000000" w:rsidRPr="00000000" w14:paraId="00000068">
      <w:pPr>
        <w:widowControl w:val="0"/>
        <w:spacing w:before="212"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69">
      <w:pPr>
        <w:widowControl w:val="0"/>
        <w:numPr>
          <w:ilvl w:val="0"/>
          <w:numId w:val="3"/>
        </w:numPr>
        <w:tabs>
          <w:tab w:val="left" w:leader="none" w:pos="1021"/>
          <w:tab w:val="left" w:leader="none" w:pos="1025"/>
        </w:tabs>
        <w:spacing w:line="232" w:lineRule="auto"/>
        <w:ind w:left="1025" w:right="108"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Determining the number of director positions necessary to achieve the objectives set out in this Directive requires greater precision since, given the size of most boards of directors, the exact proportion of 40% or, where appropriate, 33% cannot be mathematically achieved. Therefore, the number of administrator posts necessary to achieve the objectives set out in this Directive should be the closest to 40% or, where appropriate, 33%, and should not, in both cases, exceed 49%.</w:t>
      </w:r>
    </w:p>
    <w:p w:rsidR="00000000" w:rsidDel="00000000" w:rsidP="00000000" w:rsidRDefault="00000000" w:rsidRPr="00000000" w14:paraId="0000006A">
      <w:pPr>
        <w:widowControl w:val="0"/>
        <w:numPr>
          <w:ilvl w:val="0"/>
          <w:numId w:val="3"/>
        </w:numPr>
        <w:tabs>
          <w:tab w:val="left" w:leader="none" w:pos="1021"/>
          <w:tab w:val="left" w:leader="none" w:pos="1025"/>
        </w:tabs>
        <w:spacing w:before="212" w:line="232" w:lineRule="auto"/>
        <w:ind w:left="1025" w:right="88"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objectives of having at least 40% of non-executive directors or 33% of total director positions on boards of directors be of the less represented sex refer to the overall gender balance among directors, and do not interfere with the specific election of certain directors from a broad set of candidates, women and men, in each case. In particular, this Directive does not exclude any specific candidate for a director position and does not impose certain directors on listed companies and SMEs or on shareholders. The decision regarding suitable directors remains the responsibility of listed companies and shareholders; as well as SMEs.</w:t>
      </w:r>
    </w:p>
    <w:p w:rsidR="00000000" w:rsidDel="00000000" w:rsidP="00000000" w:rsidRDefault="00000000" w:rsidRPr="00000000" w14:paraId="0000006B">
      <w:pPr>
        <w:widowControl w:val="0"/>
        <w:numPr>
          <w:ilvl w:val="0"/>
          <w:numId w:val="3"/>
        </w:numPr>
        <w:tabs>
          <w:tab w:val="left" w:leader="none" w:pos="1021"/>
          <w:tab w:val="left" w:leader="none" w:pos="1025"/>
        </w:tabs>
        <w:spacing w:before="209" w:line="232" w:lineRule="auto"/>
        <w:ind w:left="1025" w:right="90" w:hanging="510"/>
        <w:jc w:val="both"/>
        <w:rPr>
          <w:rFonts w:ascii="Cambria" w:cs="Cambria" w:eastAsia="Cambria" w:hAnsi="Cambria"/>
          <w:sz w:val="19"/>
          <w:szCs w:val="19"/>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9"/>
          <w:szCs w:val="19"/>
          <w:rtl w:val="0"/>
        </w:rPr>
        <w:t xml:space="preserve">In its jurisprudence on positive action and its compatibility with the principle of non-discrimination on grounds of sex (also established in Article 21 of the Charter), the Court of Justice of the European Union accepted that, in some cases, preference may be granted to the less represented sex in selection for access to employment or promotion, provided that the candidate of the less represented sex presents equal qualifications as his competitor of the other sex from the point of view of his aptitude, competence and professional benefits, that the preference is not granted automatically and unconditionally, but can be ignored when there are reasons in the person of a candidate of the other sex that tip the balance in his favor, and the candidacy of each of the candidates has been the subject of an objective assessment that expressly takes into account all the selection criteria relating to each person.</w:t>
      </w:r>
    </w:p>
    <w:p w:rsidR="00000000" w:rsidDel="00000000" w:rsidP="00000000" w:rsidRDefault="00000000" w:rsidRPr="00000000" w14:paraId="0000006C">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6D">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6E">
      <w:pPr>
        <w:widowControl w:val="0"/>
        <w:spacing w:before="133"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6F">
      <w:pPr>
        <w:widowControl w:val="0"/>
        <w:numPr>
          <w:ilvl w:val="0"/>
          <w:numId w:val="3"/>
        </w:numPr>
        <w:tabs>
          <w:tab w:val="left" w:leader="none" w:pos="1021"/>
          <w:tab w:val="left" w:leader="none" w:pos="1025"/>
        </w:tabs>
        <w:spacing w:line="232" w:lineRule="auto"/>
        <w:ind w:left="1025" w:right="102"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should ensure that listed companies and SMEs on whose boards of directors members of the less represented sex hold less than 40% of the non-executive director positions, or less than 33% of the total director positions, including both executive and non-executive director positions, as applicable, select the most qualified candidates for appointment or election to such positions on the basis of a comparative assessment of the qualifications of the candidates, applying clear criteria, formulated in a neutral manner and without ambiguity, which have been established prior to the selection process, in order to improve the gender balance on the boards of directors. Examples of the types of selection criteria that listed companies and SMEs may apply include professional experience in management or supervisory tasks, international experience, multidisciplinary ability, leadership and communication skills, ability to network and knowledge of certain relevant areas, such as finance, financial supervision or human resources management.</w:t>
      </w:r>
    </w:p>
    <w:p w:rsidR="00000000" w:rsidDel="00000000" w:rsidP="00000000" w:rsidRDefault="00000000" w:rsidRPr="00000000" w14:paraId="00000070">
      <w:pPr>
        <w:widowControl w:val="0"/>
        <w:numPr>
          <w:ilvl w:val="0"/>
          <w:numId w:val="3"/>
        </w:numPr>
        <w:tabs>
          <w:tab w:val="left" w:leader="none" w:pos="1021"/>
          <w:tab w:val="left" w:leader="none" w:pos="1025"/>
        </w:tabs>
        <w:spacing w:before="214" w:line="232" w:lineRule="auto"/>
        <w:ind w:left="1025" w:right="102"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When selecting candidates for appointment or election to administrator positions, preference must be given to the candidate with equal qualifications of the less represented sex. However, this preference should not constitute an automatic and unconditional preference. There may be exceptional cases in which an objective assessment of the specific situation of a candidate of the opposite sex who is equally qualified may lead to ignoring the preference that would otherwise have to be granted to the candidate of the less represented sex. Dismissing preference in this way could occur, for example, when broader diversity policies are applied at the national or company level for the selection of managers. However, ruling out the application of positive action must be exceptional, based on an individualized evaluation and duly justified by objective criteria that, in any case, must not discriminate against the less represented sex.</w:t>
      </w:r>
    </w:p>
    <w:p w:rsidR="00000000" w:rsidDel="00000000" w:rsidP="00000000" w:rsidRDefault="00000000" w:rsidRPr="00000000" w14:paraId="00000071">
      <w:pPr>
        <w:widowControl w:val="0"/>
        <w:spacing w:before="120"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72">
      <w:pPr>
        <w:widowControl w:val="0"/>
        <w:numPr>
          <w:ilvl w:val="0"/>
          <w:numId w:val="3"/>
        </w:numPr>
        <w:tabs>
          <w:tab w:val="left" w:leader="none" w:pos="1021"/>
          <w:tab w:val="left" w:leader="none" w:pos="1025"/>
        </w:tabs>
        <w:spacing w:line="232" w:lineRule="auto"/>
        <w:ind w:left="1025" w:right="103"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Methods for selecting candidates for appointment or election to director positions differ between Member States and listed companies and SMEs. These methods could involve the pre-selection of candidates to be presented to the general meeting of shareholders, for example, by a nomination committee or by executive search companies. The requirements for the selection of candidates for appointment or election to director positions must be met at the appropriate stage of the selection process in accordance with national law and the statutes of the relevant listed companies and SMEs, including before the election of a candidate by the shareholders, for example by preparing a shortlist of candidates. In this regard, this Directive only establishes minimum standards applicable to the selection of candidates for the purposes of appointment or election to director positions, which allow the application of the conditions established in the jurisprudence of the Court of Justice in order to allow gender equality and to achieve the objective of a more balanced representation of women and men on the boards of directors of listed companies. This Directive does not unduly interfere with the day-to-day management of listed companies, as listed companies may continue to freely select candidates based on their qualifications or other relevant objective considerations.</w:t>
      </w:r>
    </w:p>
    <w:p w:rsidR="00000000" w:rsidDel="00000000" w:rsidP="00000000" w:rsidRDefault="00000000" w:rsidRPr="00000000" w14:paraId="00000073">
      <w:pPr>
        <w:widowControl w:val="0"/>
        <w:spacing w:before="7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74">
      <w:pPr>
        <w:widowControl w:val="0"/>
        <w:numPr>
          <w:ilvl w:val="0"/>
          <w:numId w:val="3"/>
        </w:numPr>
        <w:tabs>
          <w:tab w:val="left" w:leader="none" w:pos="1021"/>
          <w:tab w:val="left" w:leader="none" w:pos="1025"/>
        </w:tabs>
        <w:spacing w:before="1" w:line="232" w:lineRule="auto"/>
        <w:ind w:left="1025" w:right="88"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In view of the objectives of this Directive as regards gender balance, listed companies and SMEs should be required to report, upon request by the candidate for appointment or election to a director's position, on the training criteria on which the selection was based, on the objective comparative assessment of the candidates in the light of those criteria and, where appropriate, on the specific considerations that led to the balance being exceptionally tilted in favor of a candidate who is not of the less represented sex. The obligation to provide information could imply a limitation of the right to respect for private life and the right to the protection of personal data, which are recognized, respectively, in articles 7 and 8 of the Charter. However, such limitations are necessary and, in accordance with the principle of proportionality, they effectively respond to recognized general interest objectives. They therefore comply with the requirements applicable to such limitations set out in Article 52(1) of the Charter and in the relevant case law of the Court of Justice. These limitations must be applied in compliance with Regulation (EU) 2016/679 of the European Parliament and of the Council (</w:t>
      </w:r>
      <w:r w:rsidDel="00000000" w:rsidR="00000000" w:rsidRPr="00000000">
        <w:rPr>
          <w:rFonts w:ascii="Cambria" w:cs="Cambria" w:eastAsia="Cambria" w:hAnsi="Cambria"/>
          <w:sz w:val="16.666666666666668"/>
          <w:szCs w:val="16.666666666666668"/>
          <w:vertAlign w:val="superscript"/>
          <w:rtl w:val="0"/>
        </w:rPr>
        <w:t xml:space="preserve">4</w:t>
      </w:r>
      <w:r w:rsidDel="00000000" w:rsidR="00000000" w:rsidRPr="00000000">
        <w:rPr>
          <w:rFonts w:ascii="Cambria" w:cs="Cambria" w:eastAsia="Cambria" w:hAnsi="Cambria"/>
          <w:sz w:val="19"/>
          <w:szCs w:val="19"/>
          <w:rtl w:val="0"/>
        </w:rPr>
        <w:t xml:space="preserve">).</w:t>
      </w:r>
    </w:p>
    <w:p w:rsidR="00000000" w:rsidDel="00000000" w:rsidP="00000000" w:rsidRDefault="00000000" w:rsidRPr="00000000" w14:paraId="00000075">
      <w:pPr>
        <w:widowControl w:val="0"/>
        <w:spacing w:before="232" w:line="240" w:lineRule="auto"/>
        <w:rPr>
          <w:rFonts w:ascii="Cambria" w:cs="Cambria" w:eastAsia="Cambria" w:hAnsi="Cambria"/>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266700</wp:posOffset>
                </wp:positionH>
                <wp:positionV relativeFrom="paragraph">
                  <wp:posOffset>304800</wp:posOffset>
                </wp:positionV>
                <wp:extent cx="1828800" cy="12700"/>
                <wp:effectExtent b="0" l="0" r="0" t="0"/>
                <wp:wrapTopAndBottom distB="0" distT="0"/>
                <wp:docPr id="1" name=""/>
                <a:graphic>
                  <a:graphicData uri="http://schemas.microsoft.com/office/word/2010/wordprocessingShape">
                    <wps:wsp>
                      <wps:cNvSpPr/>
                      <wps:cNvPr id="2" name="Shape 2"/>
                      <wps:spPr>
                        <a:xfrm>
                          <a:off x="4431600" y="3779365"/>
                          <a:ext cx="1828800" cy="1270"/>
                        </a:xfrm>
                        <a:custGeom>
                          <a:rect b="b" l="l" r="r" t="t"/>
                          <a:pathLst>
                            <a:path extrusionOk="0" h="120000" w="1828800">
                              <a:moveTo>
                                <a:pt x="0" y="0"/>
                              </a:moveTo>
                              <a:lnTo>
                                <a:pt x="18288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266700</wp:posOffset>
                </wp:positionH>
                <wp:positionV relativeFrom="paragraph">
                  <wp:posOffset>304800</wp:posOffset>
                </wp:positionV>
                <wp:extent cx="1828800" cy="12700"/>
                <wp:effectExtent b="0" l="0" r="0" t="0"/>
                <wp:wrapTopAndBottom distB="0" dist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076">
      <w:pPr>
        <w:widowControl w:val="0"/>
        <w:spacing w:before="123"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77">
      <w:pPr>
        <w:widowControl w:val="0"/>
        <w:spacing w:line="240" w:lineRule="auto"/>
        <w:ind w:left="425" w:firstLine="0"/>
        <w:rPr>
          <w:rFonts w:ascii="Cambria" w:cs="Cambria" w:eastAsia="Cambria" w:hAnsi="Cambria"/>
          <w:sz w:val="18"/>
          <w:szCs w:val="18"/>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8"/>
          <w:szCs w:val="18"/>
          <w:vertAlign w:val="superscript"/>
          <w:rtl w:val="0"/>
        </w:rPr>
        <w:t xml:space="preserve">4</w:t>
      </w:r>
      <w:r w:rsidDel="00000000" w:rsidR="00000000" w:rsidRPr="00000000">
        <w:rPr>
          <w:rFonts w:ascii="Cambria" w:cs="Cambria" w:eastAsia="Cambria" w:hAnsi="Cambria"/>
          <w:sz w:val="18"/>
          <w:szCs w:val="18"/>
          <w:rtl w:val="0"/>
        </w:rPr>
        <w:t xml:space="preserve">Regulation (EU) 2016/679 of the European Parliament and of the Council, of April 27, 2016, relating to the protection</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Cambria" w:cs="Cambria" w:eastAsia="Cambria" w:hAnsi="Cambria"/>
          <w:sz w:val="18"/>
          <w:szCs w:val="18"/>
          <w:rtl w:val="0"/>
        </w:rPr>
        <w:t xml:space="preserve">n of people fi</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Cambria" w:cs="Cambria" w:eastAsia="Cambria" w:hAnsi="Cambria"/>
          <w:sz w:val="18"/>
          <w:szCs w:val="18"/>
          <w:rtl w:val="0"/>
        </w:rPr>
        <w:t xml:space="preserve">physical conditions with regard to the processing of personal data and free movement</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Cambria" w:cs="Cambria" w:eastAsia="Cambria" w:hAnsi="Cambria"/>
          <w:sz w:val="18"/>
          <w:szCs w:val="18"/>
          <w:rtl w:val="0"/>
        </w:rPr>
        <w:t xml:space="preserve">n of these data and which repeals Directive 95/46/EC (General protection regulation</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Fonts w:ascii="Cambria" w:cs="Cambria" w:eastAsia="Cambria" w:hAnsi="Cambria"/>
          <w:sz w:val="18"/>
          <w:szCs w:val="18"/>
          <w:rtl w:val="0"/>
        </w:rPr>
        <w:t xml:space="preserve">data no) (OJ L 119, 4.5.2016, p. 1).</w:t>
      </w:r>
    </w:p>
    <w:p w:rsidR="00000000" w:rsidDel="00000000" w:rsidP="00000000" w:rsidRDefault="00000000" w:rsidRPr="00000000" w14:paraId="00000078">
      <w:pPr>
        <w:widowControl w:val="0"/>
        <w:spacing w:line="240" w:lineRule="auto"/>
        <w:rPr>
          <w:rFonts w:ascii="Cambria" w:cs="Cambria" w:eastAsia="Cambria" w:hAnsi="Cambria"/>
          <w:sz w:val="19"/>
          <w:szCs w:val="19"/>
        </w:rPr>
      </w:pPr>
      <w:r w:rsidDel="00000000" w:rsidR="00000000" w:rsidRPr="00000000">
        <w:rPr>
          <w:rFonts w:ascii="Cambria" w:cs="Cambria" w:eastAsia="Cambria" w:hAnsi="Cambria"/>
          <w:sz w:val="19"/>
          <w:szCs w:val="19"/>
        </w:rPr>
        <mc:AlternateContent>
          <mc:Choice Requires="wpg">
            <w:drawing>
              <wp:anchor allowOverlap="1" behindDoc="1" distB="0" distT="0" distL="0" distR="0" hidden="0" layoutInCell="1" locked="0" relativeHeight="0" simplePos="0">
                <wp:simplePos x="0" y="0"/>
                <wp:positionH relativeFrom="page">
                  <wp:posOffset>522557</wp:posOffset>
                </wp:positionH>
                <wp:positionV relativeFrom="page">
                  <wp:posOffset>614102</wp:posOffset>
                </wp:positionV>
                <wp:extent cx="6517640" cy="208915"/>
                <wp:effectExtent b="0" l="0" r="0" t="0"/>
                <wp:wrapNone/>
                <wp:docPr id="5" name=""/>
                <a:graphic>
                  <a:graphicData uri="http://schemas.microsoft.com/office/word/2010/wordprocessingGroup">
                    <wpg:wgp>
                      <wpg:cNvGrpSpPr/>
                      <wpg:grpSpPr>
                        <a:xfrm>
                          <a:off x="2087175" y="3675525"/>
                          <a:ext cx="6517640" cy="208915"/>
                          <a:chOff x="2087175" y="3675525"/>
                          <a:chExt cx="6517650" cy="208925"/>
                        </a:xfrm>
                      </wpg:grpSpPr>
                      <wpg:grpSp>
                        <wpg:cNvGrpSpPr/>
                        <wpg:grpSpPr>
                          <a:xfrm>
                            <a:off x="2087180" y="3675543"/>
                            <a:ext cx="6517625" cy="208900"/>
                            <a:chOff x="0" y="0"/>
                            <a:chExt cx="6517625" cy="208900"/>
                          </a:xfrm>
                        </wpg:grpSpPr>
                        <wps:wsp>
                          <wps:cNvSpPr/>
                          <wps:cNvPr id="4" name="Shape 4"/>
                          <wps:spPr>
                            <a:xfrm>
                              <a:off x="0" y="0"/>
                              <a:ext cx="6517625" cy="20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17440" y="204055"/>
                              <a:ext cx="6477000" cy="1270"/>
                            </a:xfrm>
                            <a:custGeom>
                              <a:rect b="b" l="l" r="r" t="t"/>
                              <a:pathLst>
                                <a:path extrusionOk="0" h="120000" w="6477000">
                                  <a:moveTo>
                                    <a:pt x="0" y="0"/>
                                  </a:moveTo>
                                  <a:lnTo>
                                    <a:pt x="6476999"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pic:pic>
                          <pic:nvPicPr>
                            <pic:cNvPr id="17" name="Shape 17"/>
                            <pic:cNvPicPr preferRelativeResize="0"/>
                          </pic:nvPicPr>
                          <pic:blipFill rotWithShape="1">
                            <a:blip r:embed="rId8">
                              <a:alphaModFix/>
                            </a:blip>
                            <a:srcRect b="0" l="0" r="0" t="0"/>
                            <a:stretch/>
                          </pic:blipFill>
                          <pic:spPr>
                            <a:xfrm>
                              <a:off x="0" y="0"/>
                              <a:ext cx="542925" cy="180975"/>
                            </a:xfrm>
                            <a:prstGeom prst="rect">
                              <a:avLst/>
                            </a:prstGeom>
                            <a:noFill/>
                            <a:ln>
                              <a:noFill/>
                            </a:ln>
                          </pic:spPr>
                        </pic:pic>
                        <pic:pic>
                          <pic:nvPicPr>
                            <pic:cNvPr id="18" name="Shape 18"/>
                            <pic:cNvPicPr preferRelativeResize="0"/>
                          </pic:nvPicPr>
                          <pic:blipFill rotWithShape="1">
                            <a:blip r:embed="rId9">
                              <a:alphaModFix/>
                            </a:blip>
                            <a:srcRect b="0" l="0" r="0" t="0"/>
                            <a:stretch/>
                          </pic:blipFill>
                          <pic:spPr>
                            <a:xfrm>
                              <a:off x="2390376" y="0"/>
                              <a:ext cx="1733549" cy="180975"/>
                            </a:xfrm>
                            <a:prstGeom prst="rect">
                              <a:avLst/>
                            </a:prstGeom>
                            <a:noFill/>
                            <a:ln>
                              <a:noFill/>
                            </a:ln>
                          </pic:spPr>
                        </pic:pic>
                        <pic:pic>
                          <pic:nvPicPr>
                            <pic:cNvPr id="19" name="Shape 19"/>
                            <pic:cNvPicPr preferRelativeResize="0"/>
                          </pic:nvPicPr>
                          <pic:blipFill rotWithShape="1">
                            <a:blip r:embed="rId10">
                              <a:alphaModFix/>
                            </a:blip>
                            <a:srcRect b="0" l="0" r="0" t="0"/>
                            <a:stretch/>
                          </pic:blipFill>
                          <pic:spPr>
                            <a:xfrm>
                              <a:off x="6022022" y="0"/>
                              <a:ext cx="495300" cy="180975"/>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522557</wp:posOffset>
                </wp:positionH>
                <wp:positionV relativeFrom="page">
                  <wp:posOffset>614102</wp:posOffset>
                </wp:positionV>
                <wp:extent cx="6517640" cy="208915"/>
                <wp:effectExtent b="0" l="0" r="0" t="0"/>
                <wp:wrapNone/>
                <wp:docPr id="5"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517640" cy="20891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79">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7A">
      <w:pPr>
        <w:widowControl w:val="0"/>
        <w:spacing w:before="101"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7B">
      <w:pPr>
        <w:widowControl w:val="0"/>
        <w:numPr>
          <w:ilvl w:val="0"/>
          <w:numId w:val="3"/>
        </w:numPr>
        <w:tabs>
          <w:tab w:val="left" w:leader="none" w:pos="1021"/>
          <w:tab w:val="left" w:leader="none" w:pos="1025"/>
        </w:tabs>
        <w:spacing w:line="232" w:lineRule="auto"/>
        <w:ind w:left="1025" w:right="102"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When a candidate for appointment or election to a position of director of the less represented sex alleges facts before a court or other competent body that allow it to be presumed that he had the same qualifications as the elected candidate of the other sex, the listed company or SME must be obliged to demonstrate the correctness of the election.</w:t>
      </w:r>
    </w:p>
    <w:p w:rsidR="00000000" w:rsidDel="00000000" w:rsidP="00000000" w:rsidRDefault="00000000" w:rsidRPr="00000000" w14:paraId="0000007C">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7D">
      <w:pPr>
        <w:widowControl w:val="0"/>
        <w:spacing w:before="110"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7E">
      <w:pPr>
        <w:widowControl w:val="0"/>
        <w:numPr>
          <w:ilvl w:val="0"/>
          <w:numId w:val="3"/>
        </w:numPr>
        <w:tabs>
          <w:tab w:val="left" w:leader="none" w:pos="1021"/>
          <w:tab w:val="left" w:leader="none" w:pos="1025"/>
        </w:tabs>
        <w:spacing w:line="232" w:lineRule="auto"/>
        <w:ind w:left="1025" w:right="103"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Although this Directive aims to establish minimum requirements in the form of binding measures aimed at improving the gender composition of boards of directors, it is important to recognize, in accordance with the principle of subsidiarity, the legitimacy of different approaches and to recognize the effectiveness of certain existing national measures, already adopted in this area of ​​action, which have given satisfactory results. Thus, in some Member States efforts have already been made to ensure a more balanced representation of women and men on boards of directors by adopting binding measures that are considered to be equally effective as those established in this Directive. Those Member States should be able to suspend the application of the requirements laid down in this Directive relating to the selection of candidates for the purposes of appointment or election to administrator posts and, where appropriate, those relating to the establishment of individual quantitative targets, provided that the conditions for a suspension laid down in this Directive are met. In such cases, where Member States have adopted such binding measures through national law, the rounding rules set out in this Directive with respect to the specific number of directors should apply, </w:t>
      </w:r>
      <w:r w:rsidDel="00000000" w:rsidR="00000000" w:rsidRPr="00000000">
        <w:rPr>
          <w:rFonts w:ascii="Cambria" w:cs="Cambria" w:eastAsia="Cambria" w:hAnsi="Cambria"/>
          <w:i w:val="1"/>
          <w:sz w:val="19"/>
          <w:szCs w:val="19"/>
          <w:rtl w:val="0"/>
        </w:rPr>
        <w:t xml:space="preserve">changing</w:t>
      </w:r>
      <w:r w:rsidDel="00000000" w:rsidR="00000000" w:rsidRPr="00000000">
        <w:rPr>
          <w:rFonts w:ascii="Cambria" w:cs="Cambria" w:eastAsia="Cambria" w:hAnsi="Cambria"/>
          <w:sz w:val="19"/>
          <w:szCs w:val="19"/>
          <w:rtl w:val="0"/>
        </w:rPr>
        <w:t xml:space="preserve">, for the purposes of the evaluation of such national measures within the framework of this Directive. In a Member State where such a suspension applies, the objectives set out in this Directive must be considered to have been achieved and, therefore, the objectives set out in this Directive relating to non-executive directors or all directors do not replace or are in addition to the relevant national measures.</w:t>
      </w:r>
    </w:p>
    <w:p w:rsidR="00000000" w:rsidDel="00000000" w:rsidP="00000000" w:rsidRDefault="00000000" w:rsidRPr="00000000" w14:paraId="0000007F">
      <w:pPr>
        <w:widowControl w:val="0"/>
        <w:spacing w:before="100"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80">
      <w:pPr>
        <w:widowControl w:val="0"/>
        <w:numPr>
          <w:ilvl w:val="0"/>
          <w:numId w:val="3"/>
        </w:numPr>
        <w:tabs>
          <w:tab w:val="left" w:leader="none" w:pos="1021"/>
          <w:tab w:val="left" w:leader="none" w:pos="1025"/>
        </w:tabs>
        <w:spacing w:line="232" w:lineRule="auto"/>
        <w:ind w:left="1025" w:right="106"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In order to improve the gender balance among directors involved in day-to-day management tasks, listed companies and SMEs should be required to set individual quantitative targets for more balanced representation of both sexes among executive directors, with a view to achieving those targets by the date set in this Directive. These objectives should help societies make tangible progress with respect to the current situation. This obligation must also apply to listed companies and SMEs that pursue the 33% objective for all directors, whether executive or not.</w:t>
      </w:r>
    </w:p>
    <w:p w:rsidR="00000000" w:rsidDel="00000000" w:rsidP="00000000" w:rsidRDefault="00000000" w:rsidRPr="00000000" w14:paraId="00000081">
      <w:pPr>
        <w:widowControl w:val="0"/>
        <w:spacing w:before="108"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82">
      <w:pPr>
        <w:widowControl w:val="0"/>
        <w:numPr>
          <w:ilvl w:val="0"/>
          <w:numId w:val="3"/>
        </w:numPr>
        <w:tabs>
          <w:tab w:val="left" w:leader="none" w:pos="1021"/>
          <w:tab w:val="left" w:leader="none" w:pos="1025"/>
        </w:tabs>
        <w:spacing w:line="232" w:lineRule="auto"/>
        <w:ind w:left="1025" w:right="87"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should require listed companies and SMEs to provide annually to the competent authorities information on the gender composition of their boards of directors and on the measures taken to achieve the objectives set out in this Directive, so that they can assess the progress of each listed company in achieving gender balance among directors. Listed companies and SMEs must make this information public on their website in an appropriate and easily accessible manner and include it in their annual reports. If a listed company or SME has not achieved the applicable quantitative objectives, it must include in the aforementioned information a description of the specific measures that it has taken to date or proposes to take in the future to achieve the objectives established in this Directive. In order to avoid unnecessary administrative burden and duplication of efforts, information on gender balance on boards of directors required to be submitted under this Directive should, where applicable, form part of the corporate governance report of listed companies, in accordance with applicable Union law and, in particular, Directive 2013/34/EU of the European Parliament and of the Council (</w:t>
      </w:r>
      <w:r w:rsidDel="00000000" w:rsidR="00000000" w:rsidRPr="00000000">
        <w:rPr>
          <w:rFonts w:ascii="Cambria" w:cs="Cambria" w:eastAsia="Cambria" w:hAnsi="Cambria"/>
          <w:sz w:val="16.666666666666668"/>
          <w:szCs w:val="16.666666666666668"/>
          <w:vertAlign w:val="superscript"/>
          <w:rtl w:val="0"/>
        </w:rPr>
        <w:t xml:space="preserve">5</w:t>
      </w:r>
      <w:r w:rsidDel="00000000" w:rsidR="00000000" w:rsidRPr="00000000">
        <w:rPr>
          <w:rFonts w:ascii="Cambria" w:cs="Cambria" w:eastAsia="Cambria" w:hAnsi="Cambria"/>
          <w:sz w:val="19"/>
          <w:szCs w:val="19"/>
          <w:rtl w:val="0"/>
        </w:rPr>
        <w:t xml:space="preserve">). Where Member States have suspended the application of Article 6 in accordance with Article 12, the reporting obligations set out in this Directive should not apply, provided that the national law of those Member States provides for reporting obligations that ensure the regular publication of information regarding the progress made by listed companies and SMEs in achieving a more balanced representation of women and men on their boards of directors.</w:t>
      </w:r>
    </w:p>
    <w:p w:rsidR="00000000" w:rsidDel="00000000" w:rsidP="00000000" w:rsidRDefault="00000000" w:rsidRPr="00000000" w14:paraId="00000083">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84">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85">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86">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87">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88">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89">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8A">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8B">
      <w:pPr>
        <w:widowControl w:val="0"/>
        <w:spacing w:before="177" w:line="240" w:lineRule="auto"/>
        <w:rPr>
          <w:rFonts w:ascii="Cambria" w:cs="Cambria" w:eastAsia="Cambria" w:hAnsi="Cambria"/>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266700</wp:posOffset>
                </wp:positionH>
                <wp:positionV relativeFrom="paragraph">
                  <wp:posOffset>266700</wp:posOffset>
                </wp:positionV>
                <wp:extent cx="1828800" cy="12700"/>
                <wp:effectExtent b="0" l="0" r="0" t="0"/>
                <wp:wrapTopAndBottom distB="0" distT="0"/>
                <wp:docPr id="8" name=""/>
                <a:graphic>
                  <a:graphicData uri="http://schemas.microsoft.com/office/word/2010/wordprocessingShape">
                    <wps:wsp>
                      <wps:cNvSpPr/>
                      <wps:cNvPr id="22" name="Shape 22"/>
                      <wps:spPr>
                        <a:xfrm>
                          <a:off x="4431600" y="3779365"/>
                          <a:ext cx="1828800" cy="1270"/>
                        </a:xfrm>
                        <a:custGeom>
                          <a:rect b="b" l="l" r="r" t="t"/>
                          <a:pathLst>
                            <a:path extrusionOk="0" h="120000" w="1828800">
                              <a:moveTo>
                                <a:pt x="0" y="0"/>
                              </a:moveTo>
                              <a:lnTo>
                                <a:pt x="18288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266700</wp:posOffset>
                </wp:positionH>
                <wp:positionV relativeFrom="paragraph">
                  <wp:posOffset>266700</wp:posOffset>
                </wp:positionV>
                <wp:extent cx="1828800" cy="12700"/>
                <wp:effectExtent b="0" l="0" r="0" t="0"/>
                <wp:wrapTopAndBottom distB="0" distT="0"/>
                <wp:docPr id="8"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08C">
      <w:pPr>
        <w:widowControl w:val="0"/>
        <w:spacing w:before="104" w:line="427" w:lineRule="auto"/>
        <w:ind w:left="425" w:right="131" w:firstLine="0"/>
        <w:rPr>
          <w:rFonts w:ascii="Cambria" w:cs="Cambria" w:eastAsia="Cambria" w:hAnsi="Cambria"/>
          <w:sz w:val="9"/>
          <w:szCs w:val="9"/>
        </w:rPr>
        <w:sectPr>
          <w:type w:val="nextPage"/>
          <w:pgSz w:h="16834" w:w="11909" w:orient="portrait"/>
          <w:pgMar w:bottom="280" w:top="1220" w:left="850" w:right="1275" w:header="957" w:footer="0"/>
        </w:sectPr>
      </w:pPr>
      <w:r w:rsidDel="00000000" w:rsidR="00000000" w:rsidRPr="00000000">
        <w:rPr>
          <w:rFonts w:ascii="Cambria" w:cs="Cambria" w:eastAsia="Cambria" w:hAnsi="Cambria"/>
          <w:sz w:val="9"/>
          <w:szCs w:val="9"/>
          <w:rtl w:val="0"/>
        </w:rPr>
        <w:t xml:space="preserve">5 Directive 2013/34/EU of the European Parliament and of the Council of 26 June 2013 on the annual financial statements, consolidated financial statements and other related reports of certain types of companies, amending Directive 2006/43/EC of the European Parliament and of the Council and repealing Council Directives 78/660/EEC and 83/349/EEC (OJ L 182 of 6/29/2013, p.</w:t>
      </w:r>
    </w:p>
    <w:p w:rsidR="00000000" w:rsidDel="00000000" w:rsidP="00000000" w:rsidRDefault="00000000" w:rsidRPr="00000000" w14:paraId="0000008D">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8E">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8F">
      <w:pPr>
        <w:widowControl w:val="0"/>
        <w:spacing w:before="164"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90">
      <w:pPr>
        <w:widowControl w:val="0"/>
        <w:numPr>
          <w:ilvl w:val="0"/>
          <w:numId w:val="3"/>
        </w:numPr>
        <w:tabs>
          <w:tab w:val="left" w:leader="none" w:pos="1021"/>
          <w:tab w:val="left" w:leader="none" w:pos="1025"/>
        </w:tabs>
        <w:spacing w:line="230" w:lineRule="auto"/>
        <w:ind w:left="1025" w:right="90"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should have the possibility to apply sanctions other than those listed in the non-exhaustive list of sanctions established in this Directive, in particular in the event that a listed company or SME commits serious and repeated infringements in relation to the obligations established in this Directive. Member States must ensure that, in the execution of public contracts and concessions, listed companies and SMEs comply with the applicable obligations in terms of social and labor law, in accordance with the applicable Union Law and with the recommendations of the European Labor Authority (ELA), in the sense set out in articles 7.6, 7.7, 7.8 and 8.4.</w:t>
      </w:r>
    </w:p>
    <w:p w:rsidR="00000000" w:rsidDel="00000000" w:rsidP="00000000" w:rsidRDefault="00000000" w:rsidRPr="00000000" w14:paraId="00000091">
      <w:pPr>
        <w:widowControl w:val="0"/>
        <w:numPr>
          <w:ilvl w:val="0"/>
          <w:numId w:val="3"/>
        </w:numPr>
        <w:tabs>
          <w:tab w:val="left" w:leader="none" w:pos="1021"/>
          <w:tab w:val="left" w:leader="none" w:pos="1025"/>
        </w:tabs>
        <w:spacing w:before="211" w:line="230" w:lineRule="auto"/>
        <w:ind w:left="1025" w:right="88"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Compliance with the requirements relating to the selection of candidates for appointment or election to director positions, the obligation to establish a quantitative target for executive directors and reporting obligations should be ensured by sanctions that are effective, proportionate and dissuasive, and Member States should ensure that appropriate administrative or judicial procedures are in place for this purpose. Such sanctions could take the form of fines or the possibility of a court annulling or declaring invalid a decision relating to the selection of directors. Without prejudice to national law imposing sanctions, listed companies and SMEs that comply with these obligations should not be sanctioned for not having achieved quantitative objectives regarding the representation of women and men among directors. Sanctions must be applied to listed companies and SMEs themselves even if, under national law, a specific action or omission is not attributable to the listed company or SME but to other natural or legal persons (for example, specific shareholders). In this sense, it will be up to the Member States to designate and enable an independent administrative authority responsible for supervising compliance with this Directive, as well as instructing and resolving sanctioning procedures in accordance with national legislation. This authority must go to the European Labor Authority (ELA), pursuant to articles 43, 44, 45 and 46; as a consultative body if necessary.</w:t>
      </w:r>
    </w:p>
    <w:p w:rsidR="00000000" w:rsidDel="00000000" w:rsidP="00000000" w:rsidRDefault="00000000" w:rsidRPr="00000000" w14:paraId="00000092">
      <w:pPr>
        <w:widowControl w:val="0"/>
        <w:numPr>
          <w:ilvl w:val="0"/>
          <w:numId w:val="3"/>
        </w:numPr>
        <w:tabs>
          <w:tab w:val="left" w:leader="none" w:pos="1021"/>
          <w:tab w:val="left" w:leader="none" w:pos="1025"/>
        </w:tabs>
        <w:spacing w:before="216" w:line="232" w:lineRule="auto"/>
        <w:ind w:left="1025" w:right="114"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or their own companies, listed companies and SMEs, should be able to adopt or maintain more rigorous measures to ensure a more balanced representation of women and men.</w:t>
      </w:r>
    </w:p>
    <w:p w:rsidR="00000000" w:rsidDel="00000000" w:rsidP="00000000" w:rsidRDefault="00000000" w:rsidRPr="00000000" w14:paraId="00000093">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94">
      <w:pPr>
        <w:widowControl w:val="0"/>
        <w:spacing w:before="23"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95">
      <w:pPr>
        <w:widowControl w:val="0"/>
        <w:numPr>
          <w:ilvl w:val="0"/>
          <w:numId w:val="3"/>
        </w:numPr>
        <w:tabs>
          <w:tab w:val="left" w:leader="none" w:pos="1021"/>
          <w:tab w:val="left" w:leader="none" w:pos="1025"/>
        </w:tabs>
        <w:spacing w:line="230" w:lineRule="auto"/>
        <w:ind w:left="1025" w:right="106"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Each Member State must designate bodies responsible for promoting, analyzing, monitoring and supporting gender balance on boards of directors. Furthermore, organizing information campaigns and sharing best practices would significantly contribute to raising awareness of this issue in all societies and encourage them to proactively achieve gender balance. In particular, Member States are urged to establish policies that support and incentivize SMEs to significantly improve the gender balance at all levels of management and on boards of directors.</w:t>
      </w:r>
    </w:p>
    <w:p w:rsidR="00000000" w:rsidDel="00000000" w:rsidP="00000000" w:rsidRDefault="00000000" w:rsidRPr="00000000" w14:paraId="00000096">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97">
      <w:pPr>
        <w:widowControl w:val="0"/>
        <w:spacing w:before="2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98">
      <w:pPr>
        <w:widowControl w:val="0"/>
        <w:numPr>
          <w:ilvl w:val="0"/>
          <w:numId w:val="3"/>
        </w:numPr>
        <w:tabs>
          <w:tab w:val="left" w:leader="none" w:pos="1021"/>
          <w:tab w:val="left" w:leader="none" w:pos="1025"/>
        </w:tabs>
        <w:spacing w:before="1" w:line="230" w:lineRule="auto"/>
        <w:ind w:left="1025" w:right="107"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This Directive respects fundamental rights and complies with the principles recognized in the Charter. In particular, it contributes to compliance with the principle of equality between women and men (article 23 of the Charter) and professional freedom and the right to work (article 15 of the Charter). This Directive also aims to ensure full respect of the right to effective judicial protection and to an impartial judge (Article 47 of the Charter). Limitations on the exercise of the freedom to conduct a business (Article 16 of the Charter) and the right to property (Article 17(1) of the Charter) respect the essence of that freedom and right and are necessary and proportionate. Limitations can only be established if they effectively respond to objectives of general interest recognized by the Union or the need to protect the rights and freedoms of others.</w:t>
      </w:r>
    </w:p>
    <w:p w:rsidR="00000000" w:rsidDel="00000000" w:rsidP="00000000" w:rsidRDefault="00000000" w:rsidRPr="00000000" w14:paraId="00000099">
      <w:pPr>
        <w:widowControl w:val="0"/>
        <w:spacing w:before="95"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9A">
      <w:pPr>
        <w:widowControl w:val="0"/>
        <w:numPr>
          <w:ilvl w:val="0"/>
          <w:numId w:val="3"/>
        </w:numPr>
        <w:tabs>
          <w:tab w:val="left" w:leader="none" w:pos="1021"/>
          <w:tab w:val="left" w:leader="none" w:pos="1025"/>
        </w:tabs>
        <w:spacing w:line="230" w:lineRule="auto"/>
        <w:ind w:left="1025" w:right="104"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Since the objective of this Directive, namely to achieve a more balanced representation of women and men among the directors of listed companies and SMEs by establishing effective measures aimed at accelerating progress towards gender balance, while giving listed companies and SMEs sufficient time to adopt the necessary provisions to this end, cannot be sufficiently achieved by the Member States but, due to the size and effects of the action, can be better achieved at Union level, the Union may adopt measures, in accordance with the principle of subsidiarity established in article 5 of the TEU.</w:t>
      </w:r>
    </w:p>
    <w:p w:rsidR="00000000" w:rsidDel="00000000" w:rsidP="00000000" w:rsidRDefault="00000000" w:rsidRPr="00000000" w14:paraId="0000009B">
      <w:pPr>
        <w:widowControl w:val="0"/>
        <w:numPr>
          <w:ilvl w:val="0"/>
          <w:numId w:val="3"/>
        </w:numPr>
        <w:tabs>
          <w:tab w:val="left" w:leader="none" w:pos="1021"/>
          <w:tab w:val="left" w:leader="none" w:pos="1025"/>
        </w:tabs>
        <w:spacing w:before="97" w:line="230" w:lineRule="auto"/>
        <w:ind w:left="1025" w:right="103" w:hanging="510"/>
        <w:jc w:val="both"/>
        <w:rPr>
          <w:rFonts w:ascii="Cambria" w:cs="Cambria" w:eastAsia="Cambria" w:hAnsi="Cambria"/>
          <w:sz w:val="19"/>
          <w:szCs w:val="19"/>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9"/>
          <w:szCs w:val="19"/>
          <w:rtl w:val="0"/>
        </w:rPr>
        <w:t xml:space="preserve">In accordance with the principle of proportionality, established in said article, this Directive is limited to establishing common objectives and principles and does not go beyond what is necessary to achieve these objectives. This Directive leaves Member States sufficient freedom to determine how the objectives set out in it should be achieved, taking into account national circumstances, in particular rules and practices relating to recruitment for positions on boards of directors. This Directive does not affect the possibility for listed companies and SMEs to appoint the most qualified people as directors, and provides a flexible framework and a sufficiently long adaptation period.</w:t>
      </w:r>
    </w:p>
    <w:p w:rsidR="00000000" w:rsidDel="00000000" w:rsidP="00000000" w:rsidRDefault="00000000" w:rsidRPr="00000000" w14:paraId="0000009C">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9D">
      <w:pPr>
        <w:widowControl w:val="0"/>
        <w:spacing w:before="132"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9E">
      <w:pPr>
        <w:widowControl w:val="0"/>
        <w:numPr>
          <w:ilvl w:val="0"/>
          <w:numId w:val="3"/>
        </w:numPr>
        <w:tabs>
          <w:tab w:val="left" w:leader="none" w:pos="1021"/>
          <w:tab w:val="left" w:leader="none" w:pos="1025"/>
        </w:tabs>
        <w:spacing w:line="230" w:lineRule="auto"/>
        <w:ind w:left="1025" w:right="107"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should cooperate with the social partners and civil society to efficiently inform them of the meaning of the Directive, as well as its transposition and application.</w:t>
      </w:r>
    </w:p>
    <w:p w:rsidR="00000000" w:rsidDel="00000000" w:rsidP="00000000" w:rsidRDefault="00000000" w:rsidRPr="00000000" w14:paraId="0000009F">
      <w:pPr>
        <w:widowControl w:val="0"/>
        <w:numPr>
          <w:ilvl w:val="0"/>
          <w:numId w:val="3"/>
        </w:numPr>
        <w:tabs>
          <w:tab w:val="left" w:leader="none" w:pos="1021"/>
          <w:tab w:val="left" w:leader="none" w:pos="1025"/>
        </w:tabs>
        <w:spacing w:before="214" w:line="230" w:lineRule="auto"/>
        <w:ind w:left="1025" w:right="102"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In accordance with the principle of proportionality, the objectives to be achieved by listed companies and SMEs should be limited in time and should remain in force only until lasting progress is achieved in the gender composition of boards of directors. For this reason, the Commission should periodically review the application of this Directive and report to the European Parliament and the Council. Furthermore, this Directive establishes the date on which it will expire. The Commission should assess in its review whether it is necessary to extend the validity of this Directive beyond that date.</w:t>
      </w:r>
    </w:p>
    <w:p w:rsidR="00000000" w:rsidDel="00000000" w:rsidP="00000000" w:rsidRDefault="00000000" w:rsidRPr="00000000" w14:paraId="000000A0">
      <w:pPr>
        <w:widowControl w:val="0"/>
        <w:spacing w:before="9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A1">
      <w:pPr>
        <w:widowControl w:val="0"/>
        <w:numPr>
          <w:ilvl w:val="0"/>
          <w:numId w:val="3"/>
        </w:numPr>
        <w:tabs>
          <w:tab w:val="left" w:leader="none" w:pos="1021"/>
          <w:tab w:val="left" w:leader="none" w:pos="1025"/>
        </w:tabs>
        <w:spacing w:before="1" w:line="230" w:lineRule="auto"/>
        <w:ind w:left="1025" w:right="107" w:hanging="51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In accordance with the Joint Political Declaration of 28 September 2011 of the Member States and the Commission on explanatory documents (</w:t>
      </w:r>
      <w:r w:rsidDel="00000000" w:rsidR="00000000" w:rsidRPr="00000000">
        <w:rPr>
          <w:rFonts w:ascii="Cambria" w:cs="Cambria" w:eastAsia="Cambria" w:hAnsi="Cambria"/>
          <w:sz w:val="16.666666666666668"/>
          <w:szCs w:val="16.666666666666668"/>
          <w:vertAlign w:val="superscript"/>
          <w:rtl w:val="0"/>
        </w:rPr>
        <w:t xml:space="preserve">6</w:t>
      </w:r>
      <w:r w:rsidDel="00000000" w:rsidR="00000000" w:rsidRPr="00000000">
        <w:rPr>
          <w:rFonts w:ascii="Cambria" w:cs="Cambria" w:eastAsia="Cambria" w:hAnsi="Cambria"/>
          <w:sz w:val="19"/>
          <w:szCs w:val="19"/>
          <w:rtl w:val="0"/>
        </w:rPr>
        <w:t xml:space="preserve">), Member States have undertaken to attach to the notification of their transposition measures, where justified, one or more documents explaining the relationship between the elements of a directive and the corresponding parts of the national transposition instruments. As regards this Directive, the legislator considers that the transmission of such documents is justified.</w:t>
      </w:r>
    </w:p>
    <w:p w:rsidR="00000000" w:rsidDel="00000000" w:rsidP="00000000" w:rsidRDefault="00000000" w:rsidRPr="00000000" w14:paraId="000000A2">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3">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4">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5">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6">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7">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8">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9">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A">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B">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C">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D">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E">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AF">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0">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1">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2">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3">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4">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5">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6">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7">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8">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9">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A">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B">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C">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D">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E">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BF">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0">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1">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2">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3">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4">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5">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6">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7">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8">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9">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A">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B">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C">
      <w:pPr>
        <w:widowControl w:val="0"/>
        <w:spacing w:line="240" w:lineRule="auto"/>
        <w:rPr>
          <w:rFonts w:ascii="Cambria" w:cs="Cambria" w:eastAsia="Cambria" w:hAnsi="Cambria"/>
          <w:sz w:val="20"/>
          <w:szCs w:val="20"/>
        </w:rPr>
      </w:pPr>
      <w:r w:rsidDel="00000000" w:rsidR="00000000" w:rsidRPr="00000000">
        <w:rPr>
          <w:rtl w:val="0"/>
        </w:rPr>
      </w:r>
    </w:p>
    <w:p w:rsidR="00000000" w:rsidDel="00000000" w:rsidP="00000000" w:rsidRDefault="00000000" w:rsidRPr="00000000" w14:paraId="000000CD">
      <w:pPr>
        <w:widowControl w:val="0"/>
        <w:spacing w:before="20" w:line="240" w:lineRule="auto"/>
        <w:rPr>
          <w:rFonts w:ascii="Cambria" w:cs="Cambria" w:eastAsia="Cambria" w:hAnsi="Cambria"/>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266700</wp:posOffset>
                </wp:positionH>
                <wp:positionV relativeFrom="paragraph">
                  <wp:posOffset>165100</wp:posOffset>
                </wp:positionV>
                <wp:extent cx="1828800" cy="12700"/>
                <wp:effectExtent b="0" l="0" r="0" t="0"/>
                <wp:wrapTopAndBottom distB="0" distT="0"/>
                <wp:docPr id="4" name=""/>
                <a:graphic>
                  <a:graphicData uri="http://schemas.microsoft.com/office/word/2010/wordprocessingShape">
                    <wps:wsp>
                      <wps:cNvSpPr/>
                      <wps:cNvPr id="14" name="Shape 14"/>
                      <wps:spPr>
                        <a:xfrm>
                          <a:off x="4431600" y="3779365"/>
                          <a:ext cx="1828800" cy="1270"/>
                        </a:xfrm>
                        <a:custGeom>
                          <a:rect b="b" l="l" r="r" t="t"/>
                          <a:pathLst>
                            <a:path extrusionOk="0" h="120000" w="1828800">
                              <a:moveTo>
                                <a:pt x="0" y="0"/>
                              </a:moveTo>
                              <a:lnTo>
                                <a:pt x="18288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266700</wp:posOffset>
                </wp:positionH>
                <wp:positionV relativeFrom="paragraph">
                  <wp:posOffset>165100</wp:posOffset>
                </wp:positionV>
                <wp:extent cx="1828800" cy="12700"/>
                <wp:effectExtent b="0" l="0" r="0" t="0"/>
                <wp:wrapTopAndBottom distB="0" distT="0"/>
                <wp:docPr id="4"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1828800" cy="12700"/>
                        </a:xfrm>
                        <a:prstGeom prst="rect"/>
                        <a:ln/>
                      </pic:spPr>
                    </pic:pic>
                  </a:graphicData>
                </a:graphic>
              </wp:anchor>
            </w:drawing>
          </mc:Fallback>
        </mc:AlternateContent>
      </w:r>
    </w:p>
    <w:p w:rsidR="00000000" w:rsidDel="00000000" w:rsidP="00000000" w:rsidRDefault="00000000" w:rsidRPr="00000000" w14:paraId="000000CE">
      <w:pPr>
        <w:widowControl w:val="0"/>
        <w:spacing w:before="100" w:line="240" w:lineRule="auto"/>
        <w:ind w:left="425" w:firstLine="0"/>
        <w:rPr>
          <w:rFonts w:ascii="Cambria" w:cs="Cambria" w:eastAsia="Cambria" w:hAnsi="Cambria"/>
          <w:sz w:val="10"/>
          <w:szCs w:val="10"/>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2"/>
          <w:szCs w:val="12"/>
          <w:rtl w:val="0"/>
        </w:rPr>
        <w:t xml:space="preserve">6 </w:t>
      </w:r>
      <w:r w:rsidDel="00000000" w:rsidR="00000000" w:rsidRPr="00000000">
        <w:rPr>
          <w:rFonts w:ascii="Cambria" w:cs="Cambria" w:eastAsia="Cambria" w:hAnsi="Cambria"/>
          <w:sz w:val="10"/>
          <w:szCs w:val="10"/>
          <w:rtl w:val="0"/>
        </w:rPr>
        <w:t xml:space="preserve">DOC369de17.12.2011,p.14.</w:t>
      </w:r>
    </w:p>
    <w:p w:rsidR="00000000" w:rsidDel="00000000" w:rsidP="00000000" w:rsidRDefault="00000000" w:rsidRPr="00000000" w14:paraId="000000CF">
      <w:pPr>
        <w:widowControl w:val="0"/>
        <w:spacing w:line="240" w:lineRule="auto"/>
        <w:rPr>
          <w:rFonts w:ascii="Cambria" w:cs="Cambria" w:eastAsia="Cambria" w:hAnsi="Cambria"/>
          <w:sz w:val="16"/>
          <w:szCs w:val="16"/>
        </w:rPr>
      </w:pPr>
      <w:r w:rsidDel="00000000" w:rsidR="00000000" w:rsidRPr="00000000">
        <w:rPr>
          <w:rFonts w:ascii="Cambria" w:cs="Cambria" w:eastAsia="Cambria" w:hAnsi="Cambria"/>
          <w:sz w:val="16"/>
          <w:szCs w:val="16"/>
        </w:rPr>
        <mc:AlternateContent>
          <mc:Choice Requires="wpg">
            <w:drawing>
              <wp:anchor allowOverlap="1" behindDoc="1" distB="0" distT="0" distL="0" distR="0" hidden="0" layoutInCell="1" locked="0" relativeHeight="0" simplePos="0">
                <wp:simplePos x="0" y="0"/>
                <wp:positionH relativeFrom="page">
                  <wp:posOffset>522557</wp:posOffset>
                </wp:positionH>
                <wp:positionV relativeFrom="page">
                  <wp:posOffset>614102</wp:posOffset>
                </wp:positionV>
                <wp:extent cx="6517640" cy="208915"/>
                <wp:effectExtent b="0" l="0" r="0" t="0"/>
                <wp:wrapNone/>
                <wp:docPr id="3" name=""/>
                <a:graphic>
                  <a:graphicData uri="http://schemas.microsoft.com/office/word/2010/wordprocessingGroup">
                    <wpg:wgp>
                      <wpg:cNvGrpSpPr/>
                      <wpg:grpSpPr>
                        <a:xfrm>
                          <a:off x="2087175" y="3675525"/>
                          <a:ext cx="6517640" cy="208915"/>
                          <a:chOff x="2087175" y="3675525"/>
                          <a:chExt cx="6517650" cy="208925"/>
                        </a:xfrm>
                      </wpg:grpSpPr>
                      <wpg:grpSp>
                        <wpg:cNvGrpSpPr/>
                        <wpg:grpSpPr>
                          <a:xfrm>
                            <a:off x="2087180" y="3675543"/>
                            <a:ext cx="6517625" cy="208900"/>
                            <a:chOff x="0" y="0"/>
                            <a:chExt cx="6517625" cy="208900"/>
                          </a:xfrm>
                        </wpg:grpSpPr>
                        <wps:wsp>
                          <wps:cNvSpPr/>
                          <wps:cNvPr id="4" name="Shape 4"/>
                          <wps:spPr>
                            <a:xfrm>
                              <a:off x="0" y="0"/>
                              <a:ext cx="6517625" cy="20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17440" y="204055"/>
                              <a:ext cx="6477000" cy="1270"/>
                            </a:xfrm>
                            <a:custGeom>
                              <a:rect b="b" l="l" r="r" t="t"/>
                              <a:pathLst>
                                <a:path extrusionOk="0" h="120000" w="6477000">
                                  <a:moveTo>
                                    <a:pt x="0" y="0"/>
                                  </a:moveTo>
                                  <a:lnTo>
                                    <a:pt x="6476999"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pic:pic>
                          <pic:nvPicPr>
                            <pic:cNvPr id="11" name="Shape 11"/>
                            <pic:cNvPicPr preferRelativeResize="0"/>
                          </pic:nvPicPr>
                          <pic:blipFill rotWithShape="1">
                            <a:blip r:embed="rId8">
                              <a:alphaModFix/>
                            </a:blip>
                            <a:srcRect b="0" l="0" r="0" t="0"/>
                            <a:stretch/>
                          </pic:blipFill>
                          <pic:spPr>
                            <a:xfrm>
                              <a:off x="0" y="0"/>
                              <a:ext cx="542925" cy="180975"/>
                            </a:xfrm>
                            <a:prstGeom prst="rect">
                              <a:avLst/>
                            </a:prstGeom>
                            <a:noFill/>
                            <a:ln>
                              <a:noFill/>
                            </a:ln>
                          </pic:spPr>
                        </pic:pic>
                        <pic:pic>
                          <pic:nvPicPr>
                            <pic:cNvPr id="12" name="Shape 12"/>
                            <pic:cNvPicPr preferRelativeResize="0"/>
                          </pic:nvPicPr>
                          <pic:blipFill rotWithShape="1">
                            <a:blip r:embed="rId9">
                              <a:alphaModFix/>
                            </a:blip>
                            <a:srcRect b="0" l="0" r="0" t="0"/>
                            <a:stretch/>
                          </pic:blipFill>
                          <pic:spPr>
                            <a:xfrm>
                              <a:off x="2390376" y="0"/>
                              <a:ext cx="1733549" cy="180975"/>
                            </a:xfrm>
                            <a:prstGeom prst="rect">
                              <a:avLst/>
                            </a:prstGeom>
                            <a:noFill/>
                            <a:ln>
                              <a:noFill/>
                            </a:ln>
                          </pic:spPr>
                        </pic:pic>
                        <pic:pic>
                          <pic:nvPicPr>
                            <pic:cNvPr id="13" name="Shape 13"/>
                            <pic:cNvPicPr preferRelativeResize="0"/>
                          </pic:nvPicPr>
                          <pic:blipFill rotWithShape="1">
                            <a:blip r:embed="rId11">
                              <a:alphaModFix/>
                            </a:blip>
                            <a:srcRect b="0" l="0" r="0" t="0"/>
                            <a:stretch/>
                          </pic:blipFill>
                          <pic:spPr>
                            <a:xfrm>
                              <a:off x="6022022" y="0"/>
                              <a:ext cx="495300" cy="180975"/>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522557</wp:posOffset>
                </wp:positionH>
                <wp:positionV relativeFrom="page">
                  <wp:posOffset>614102</wp:posOffset>
                </wp:positionV>
                <wp:extent cx="6517640" cy="208915"/>
                <wp:effectExtent b="0" l="0" r="0" t="0"/>
                <wp:wrapNone/>
                <wp:docPr id="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517640" cy="20891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D0">
      <w:pPr>
        <w:widowControl w:val="0"/>
        <w:spacing w:line="240" w:lineRule="auto"/>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0D1">
      <w:pPr>
        <w:widowControl w:val="0"/>
        <w:spacing w:line="240" w:lineRule="auto"/>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0D2">
      <w:pPr>
        <w:widowControl w:val="0"/>
        <w:spacing w:line="240" w:lineRule="auto"/>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0D3">
      <w:pPr>
        <w:widowControl w:val="0"/>
        <w:spacing w:before="78" w:line="240" w:lineRule="auto"/>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0D4">
      <w:pPr>
        <w:widowControl w:val="0"/>
        <w:spacing w:line="240" w:lineRule="auto"/>
        <w:ind w:left="515" w:firstLine="0"/>
        <w:rPr>
          <w:rFonts w:ascii="Cambria" w:cs="Cambria" w:eastAsia="Cambria" w:hAnsi="Cambria"/>
          <w:sz w:val="16"/>
          <w:szCs w:val="16"/>
        </w:rPr>
      </w:pPr>
      <w:r w:rsidDel="00000000" w:rsidR="00000000" w:rsidRPr="00000000">
        <w:rPr>
          <w:rFonts w:ascii="Cambria" w:cs="Cambria" w:eastAsia="Cambria" w:hAnsi="Cambria"/>
          <w:sz w:val="16"/>
          <w:szCs w:val="16"/>
          <w:rtl w:val="0"/>
        </w:rPr>
        <w:t xml:space="preserve">HAVE ADOPTED THIS DIRECTIVE:</w:t>
      </w:r>
    </w:p>
    <w:p w:rsidR="00000000" w:rsidDel="00000000" w:rsidP="00000000" w:rsidRDefault="00000000" w:rsidRPr="00000000" w14:paraId="000000D5">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D6">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D7">
      <w:pPr>
        <w:widowControl w:val="0"/>
        <w:spacing w:before="39"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D8">
      <w:pPr>
        <w:widowControl w:val="0"/>
        <w:spacing w:line="240" w:lineRule="auto"/>
        <w:ind w:left="655" w:right="245"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1</w:t>
      </w:r>
    </w:p>
    <w:p w:rsidR="00000000" w:rsidDel="00000000" w:rsidP="00000000" w:rsidRDefault="00000000" w:rsidRPr="00000000" w14:paraId="000000D9">
      <w:pPr>
        <w:widowControl w:val="0"/>
        <w:spacing w:line="240" w:lineRule="auto"/>
        <w:rPr>
          <w:rFonts w:ascii="Cambria" w:cs="Cambria" w:eastAsia="Cambria" w:hAnsi="Cambria"/>
          <w:i w:val="1"/>
          <w:sz w:val="19"/>
          <w:szCs w:val="19"/>
        </w:rPr>
      </w:pPr>
      <w:r w:rsidDel="00000000" w:rsidR="00000000" w:rsidRPr="00000000">
        <w:rPr>
          <w:rtl w:val="0"/>
        </w:rPr>
      </w:r>
    </w:p>
    <w:bookmarkStart w:colFirst="0" w:colLast="0" w:name="kix.kny1xqvbtgl1" w:id="0"/>
    <w:bookmarkEnd w:id="0"/>
    <w:p w:rsidR="00000000" w:rsidDel="00000000" w:rsidP="00000000" w:rsidRDefault="00000000" w:rsidRPr="00000000" w14:paraId="000000DA">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Object</w:t>
      </w:r>
    </w:p>
    <w:p w:rsidR="00000000" w:rsidDel="00000000" w:rsidP="00000000" w:rsidRDefault="00000000" w:rsidRPr="00000000" w14:paraId="000000DB">
      <w:pPr>
        <w:widowControl w:val="0"/>
        <w:spacing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0DC">
      <w:pPr>
        <w:widowControl w:val="0"/>
        <w:spacing w:line="240" w:lineRule="auto"/>
        <w:ind w:left="695" w:right="284"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This Directive aims to strengthen the gender balance on the boards of directors of listed companies and small and medium-sized enterprises (SMEs) within the European Union, establishing measures to ensure more equal representation of women and men in management and supervisory positions. It also establishes additional requirements to ensure transparency in the selection and appointment processes, promoting equal opportunities and improving corporate governance in line with Directive (EU) 2022/2381.</w:t>
      </w:r>
    </w:p>
    <w:p w:rsidR="00000000" w:rsidDel="00000000" w:rsidP="00000000" w:rsidRDefault="00000000" w:rsidRPr="00000000" w14:paraId="000000DD">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DE">
      <w:pPr>
        <w:widowControl w:val="0"/>
        <w:spacing w:line="240" w:lineRule="auto"/>
        <w:ind w:left="714" w:right="243"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2</w:t>
      </w:r>
    </w:p>
    <w:p w:rsidR="00000000" w:rsidDel="00000000" w:rsidP="00000000" w:rsidRDefault="00000000" w:rsidRPr="00000000" w14:paraId="000000DF">
      <w:pPr>
        <w:widowControl w:val="0"/>
        <w:spacing w:line="240" w:lineRule="auto"/>
        <w:rPr>
          <w:rFonts w:ascii="Cambria" w:cs="Cambria" w:eastAsia="Cambria" w:hAnsi="Cambria"/>
          <w:i w:val="1"/>
          <w:sz w:val="19"/>
          <w:szCs w:val="19"/>
        </w:rPr>
      </w:pPr>
      <w:r w:rsidDel="00000000" w:rsidR="00000000" w:rsidRPr="00000000">
        <w:rPr>
          <w:rtl w:val="0"/>
        </w:rPr>
      </w:r>
    </w:p>
    <w:p w:rsidR="00000000" w:rsidDel="00000000" w:rsidP="00000000" w:rsidRDefault="00000000" w:rsidRPr="00000000" w14:paraId="000000E0">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Purpose</w:t>
      </w:r>
    </w:p>
    <w:p w:rsidR="00000000" w:rsidDel="00000000" w:rsidP="00000000" w:rsidRDefault="00000000" w:rsidRPr="00000000" w14:paraId="000000E1">
      <w:pPr>
        <w:widowControl w:val="0"/>
        <w:spacing w:before="97"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0E2">
      <w:pPr>
        <w:widowControl w:val="0"/>
        <w:spacing w:before="1" w:line="230" w:lineRule="auto"/>
        <w:ind w:left="515" w:right="103" w:firstLine="0"/>
        <w:jc w:val="both"/>
        <w:rPr>
          <w:rFonts w:ascii="Cambria" w:cs="Cambria" w:eastAsia="Cambria" w:hAnsi="Cambria"/>
          <w:sz w:val="18"/>
          <w:szCs w:val="18"/>
        </w:rPr>
      </w:pPr>
      <w:r w:rsidDel="00000000" w:rsidR="00000000" w:rsidRPr="00000000">
        <w:rPr>
          <w:rFonts w:ascii="Cambria" w:cs="Cambria" w:eastAsia="Cambria" w:hAnsi="Cambria"/>
          <w:sz w:val="19"/>
          <w:szCs w:val="19"/>
          <w:rtl w:val="0"/>
        </w:rPr>
        <w:t xml:space="preserve">This Directive aims to achieve a more balanced representation of women and men among the directors of listed companies and SMEs by establishing effective measures aimed at accelerating progress towards gender balance, while giving listed companies and SMEs sufficient time to adopt the necessary provisions to this end, </w:t>
      </w:r>
      <w:r w:rsidDel="00000000" w:rsidR="00000000" w:rsidRPr="00000000">
        <w:rPr>
          <w:rFonts w:ascii="Cambria" w:cs="Cambria" w:eastAsia="Cambria" w:hAnsi="Cambria"/>
          <w:sz w:val="20"/>
          <w:szCs w:val="20"/>
          <w:rtl w:val="0"/>
        </w:rPr>
        <w:t xml:space="preserve">in order to strengthen the application</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Cambria" w:cs="Cambria" w:eastAsia="Cambria" w:hAnsi="Cambria"/>
          <w:sz w:val="20"/>
          <w:szCs w:val="20"/>
          <w:rtl w:val="0"/>
        </w:rPr>
        <w:t xml:space="preserve">n of the principle of equal treatment as derived</w:t>
      </w:r>
      <w:r w:rsidDel="00000000" w:rsidR="00000000" w:rsidRPr="00000000">
        <w:rPr>
          <w:rFonts w:ascii="Cambria" w:cs="Cambria" w:eastAsia="Cambria" w:hAnsi="Cambria"/>
          <w:sz w:val="18"/>
          <w:szCs w:val="18"/>
          <w:rtl w:val="0"/>
        </w:rPr>
        <w:t xml:space="preserve">a of Directive 2022/2381</w:t>
      </w:r>
    </w:p>
    <w:p w:rsidR="00000000" w:rsidDel="00000000" w:rsidP="00000000" w:rsidRDefault="00000000" w:rsidRPr="00000000" w14:paraId="000000E3">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E4">
      <w:pPr>
        <w:widowControl w:val="0"/>
        <w:spacing w:before="41"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E5">
      <w:pPr>
        <w:widowControl w:val="0"/>
        <w:spacing w:line="240" w:lineRule="auto"/>
        <w:ind w:left="655" w:right="245"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3</w:t>
      </w:r>
    </w:p>
    <w:p w:rsidR="00000000" w:rsidDel="00000000" w:rsidP="00000000" w:rsidRDefault="00000000" w:rsidRPr="00000000" w14:paraId="000000E6">
      <w:pPr>
        <w:widowControl w:val="0"/>
        <w:spacing w:before="128" w:line="240" w:lineRule="auto"/>
        <w:rPr>
          <w:rFonts w:ascii="Cambria" w:cs="Cambria" w:eastAsia="Cambria" w:hAnsi="Cambria"/>
          <w:i w:val="1"/>
          <w:sz w:val="19"/>
          <w:szCs w:val="19"/>
        </w:rPr>
      </w:pPr>
      <w:r w:rsidDel="00000000" w:rsidR="00000000" w:rsidRPr="00000000">
        <w:rPr>
          <w:rtl w:val="0"/>
        </w:rPr>
      </w:r>
    </w:p>
    <w:p w:rsidR="00000000" w:rsidDel="00000000" w:rsidP="00000000" w:rsidRDefault="00000000" w:rsidRPr="00000000" w14:paraId="000000E7">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Scope of application</w:t>
      </w:r>
    </w:p>
    <w:p w:rsidR="00000000" w:rsidDel="00000000" w:rsidP="00000000" w:rsidRDefault="00000000" w:rsidRPr="00000000" w14:paraId="000000E8">
      <w:pPr>
        <w:widowControl w:val="0"/>
        <w:spacing w:before="90"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0E9">
      <w:pPr>
        <w:widowControl w:val="0"/>
        <w:spacing w:line="240" w:lineRule="auto"/>
        <w:ind w:left="515"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This Directive shall apply to listed companies.</w:t>
      </w:r>
    </w:p>
    <w:p w:rsidR="00000000" w:rsidDel="00000000" w:rsidP="00000000" w:rsidRDefault="00000000" w:rsidRPr="00000000" w14:paraId="000000EA">
      <w:pPr>
        <w:widowControl w:val="0"/>
        <w:spacing w:before="212" w:line="230" w:lineRule="auto"/>
        <w:ind w:left="515" w:firstLine="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This Directive shall apply to small and medium-sized enterprises (hereinafter collectively referred to as "SMEs"), subject to the following requirements:</w:t>
      </w:r>
    </w:p>
    <w:p w:rsidR="00000000" w:rsidDel="00000000" w:rsidP="00000000" w:rsidRDefault="00000000" w:rsidRPr="00000000" w14:paraId="000000EB">
      <w:pPr>
        <w:widowControl w:val="0"/>
        <w:numPr>
          <w:ilvl w:val="1"/>
          <w:numId w:val="3"/>
        </w:numPr>
        <w:tabs>
          <w:tab w:val="left" w:leader="none" w:pos="1143"/>
          <w:tab w:val="left" w:leader="none" w:pos="1145"/>
        </w:tabs>
        <w:spacing w:line="240" w:lineRule="auto"/>
        <w:ind w:left="1145" w:right="110" w:hanging="36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SME must have a minimum number of 40 employees in its total workforce for the application of the Directive. This will exclude smaller small businesses and those with informal management structures; as well as microenterprises.</w:t>
      </w:r>
    </w:p>
    <w:p w:rsidR="00000000" w:rsidDel="00000000" w:rsidP="00000000" w:rsidRDefault="00000000" w:rsidRPr="00000000" w14:paraId="000000EC">
      <w:pPr>
        <w:widowControl w:val="0"/>
        <w:numPr>
          <w:ilvl w:val="1"/>
          <w:numId w:val="3"/>
        </w:numPr>
        <w:tabs>
          <w:tab w:val="left" w:leader="none" w:pos="1143"/>
          <w:tab w:val="left" w:leader="none" w:pos="1145"/>
        </w:tabs>
        <w:spacing w:line="240" w:lineRule="auto"/>
        <w:ind w:left="1145" w:right="70" w:hanging="36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For the gender balance sought by this directive to have a significant reflection and impact, the Board of Directors of the SME must be composed of at least five members.</w:t>
      </w:r>
    </w:p>
    <w:p w:rsidR="00000000" w:rsidDel="00000000" w:rsidP="00000000" w:rsidRDefault="00000000" w:rsidRPr="00000000" w14:paraId="000000ED">
      <w:pPr>
        <w:widowControl w:val="0"/>
        <w:spacing w:before="215" w:line="240" w:lineRule="auto"/>
        <w:ind w:left="515" w:firstLine="0"/>
        <w:rPr>
          <w:rFonts w:ascii="Cambria" w:cs="Cambria" w:eastAsia="Cambria" w:hAnsi="Cambria"/>
          <w:sz w:val="19"/>
          <w:szCs w:val="19"/>
        </w:rPr>
        <w:sectPr>
          <w:type w:val="nextPage"/>
          <w:pgSz w:h="16834" w:w="11909" w:orient="portrait"/>
          <w:pgMar w:bottom="280" w:top="1220" w:left="850" w:right="1275" w:header="957" w:footer="0"/>
        </w:sectPr>
      </w:pPr>
      <w:r w:rsidDel="00000000" w:rsidR="00000000" w:rsidRPr="00000000">
        <w:rPr>
          <w:rFonts w:ascii="Cambria" w:cs="Cambria" w:eastAsia="Cambria" w:hAnsi="Cambria"/>
          <w:sz w:val="19"/>
          <w:szCs w:val="19"/>
          <w:rtl w:val="0"/>
        </w:rPr>
        <w:t xml:space="preserve">This Directive shall not apply to micro-enterprises.</w:t>
      </w:r>
    </w:p>
    <w:p w:rsidR="00000000" w:rsidDel="00000000" w:rsidP="00000000" w:rsidRDefault="00000000" w:rsidRPr="00000000" w14:paraId="000000EE">
      <w:pPr>
        <w:widowControl w:val="0"/>
        <w:spacing w:before="6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EF">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Definitions</w:t>
      </w:r>
    </w:p>
    <w:p w:rsidR="00000000" w:rsidDel="00000000" w:rsidP="00000000" w:rsidRDefault="00000000" w:rsidRPr="00000000" w14:paraId="000000F0">
      <w:pPr>
        <w:widowControl w:val="0"/>
        <w:spacing w:before="37"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0F1">
      <w:pPr>
        <w:widowControl w:val="0"/>
        <w:spacing w:line="240" w:lineRule="auto"/>
        <w:ind w:left="515" w:firstLine="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A </w:t>
      </w:r>
      <w:r w:rsidDel="00000000" w:rsidR="00000000" w:rsidRPr="00000000">
        <w:rPr>
          <w:rFonts w:ascii="Cambria" w:cs="Cambria" w:eastAsia="Cambria" w:hAnsi="Cambria"/>
          <w:sz w:val="13"/>
          <w:szCs w:val="13"/>
          <w:rtl w:val="0"/>
        </w:rPr>
        <w:t xml:space="preserve">AND</w:t>
      </w:r>
      <w:r w:rsidDel="00000000" w:rsidR="00000000" w:rsidRPr="00000000">
        <w:rPr>
          <w:rFonts w:ascii="Cambria" w:cs="Cambria" w:eastAsia="Cambria" w:hAnsi="Cambria"/>
          <w:sz w:val="19"/>
          <w:szCs w:val="19"/>
          <w:rtl w:val="0"/>
        </w:rPr>
        <w:t xml:space="preserve">purposes of this Directive, it will be understood as:</w:t>
      </w:r>
    </w:p>
    <w:p w:rsidR="00000000" w:rsidDel="00000000" w:rsidP="00000000" w:rsidRDefault="00000000" w:rsidRPr="00000000" w14:paraId="000000F2">
      <w:pPr>
        <w:widowControl w:val="0"/>
        <w:numPr>
          <w:ilvl w:val="0"/>
          <w:numId w:val="7"/>
        </w:numPr>
        <w:tabs>
          <w:tab w:val="left" w:leader="none" w:pos="768"/>
          <w:tab w:val="left" w:leader="none" w:pos="770"/>
        </w:tabs>
        <w:spacing w:before="146" w:line="230" w:lineRule="auto"/>
        <w:ind w:left="770" w:right="104" w:hanging="255"/>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'listed company' means a company with its registered office in a Member State whose shares are admitted to trading on a regulated market, as defined in Article 4(1)(21) of Directive 2014/65/EU, of one or more Member States;</w:t>
      </w:r>
    </w:p>
    <w:p w:rsidR="00000000" w:rsidDel="00000000" w:rsidP="00000000" w:rsidRDefault="00000000" w:rsidRPr="00000000" w14:paraId="000000F3">
      <w:pPr>
        <w:widowControl w:val="0"/>
        <w:numPr>
          <w:ilvl w:val="0"/>
          <w:numId w:val="7"/>
        </w:numPr>
        <w:tabs>
          <w:tab w:val="left" w:leader="none" w:pos="768"/>
        </w:tabs>
        <w:spacing w:before="142" w:line="240" w:lineRule="auto"/>
        <w:ind w:left="768" w:hanging="252.99999999999997"/>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"board of directors" means an administrative, management or control body of a listed company;</w:t>
      </w:r>
    </w:p>
    <w:p w:rsidR="00000000" w:rsidDel="00000000" w:rsidP="00000000" w:rsidRDefault="00000000" w:rsidRPr="00000000" w14:paraId="000000F4">
      <w:pPr>
        <w:widowControl w:val="0"/>
        <w:numPr>
          <w:ilvl w:val="0"/>
          <w:numId w:val="7"/>
        </w:numPr>
        <w:tabs>
          <w:tab w:val="left" w:leader="none" w:pos="768"/>
          <w:tab w:val="left" w:leader="none" w:pos="770"/>
        </w:tabs>
        <w:spacing w:before="146" w:line="230" w:lineRule="auto"/>
        <w:ind w:left="770" w:right="111" w:hanging="255"/>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"director" means a member of a board of directors, including members who are employee representatives;</w:t>
      </w:r>
    </w:p>
    <w:p w:rsidR="00000000" w:rsidDel="00000000" w:rsidP="00000000" w:rsidRDefault="00000000" w:rsidRPr="00000000" w14:paraId="000000F5">
      <w:pPr>
        <w:widowControl w:val="0"/>
        <w:numPr>
          <w:ilvl w:val="0"/>
          <w:numId w:val="7"/>
        </w:numPr>
        <w:tabs>
          <w:tab w:val="left" w:leader="none" w:pos="768"/>
          <w:tab w:val="left" w:leader="none" w:pos="770"/>
        </w:tabs>
        <w:spacing w:before="149" w:line="230" w:lineRule="auto"/>
        <w:ind w:left="770" w:right="108" w:hanging="255"/>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"executive director" means a member of a board of directors with a mono structure involved in the day-to-day management of a listed company or, in the case of a dual management system, a member of the board of directors who exercises management functions of a listed company;</w:t>
      </w:r>
    </w:p>
    <w:p w:rsidR="00000000" w:rsidDel="00000000" w:rsidP="00000000" w:rsidRDefault="00000000" w:rsidRPr="00000000" w14:paraId="000000F6">
      <w:pPr>
        <w:widowControl w:val="0"/>
        <w:numPr>
          <w:ilvl w:val="0"/>
          <w:numId w:val="7"/>
        </w:numPr>
        <w:tabs>
          <w:tab w:val="left" w:leader="none" w:pos="768"/>
          <w:tab w:val="left" w:leader="none" w:pos="770"/>
        </w:tabs>
        <w:spacing w:before="146" w:line="230" w:lineRule="auto"/>
        <w:ind w:left="770" w:right="110" w:hanging="255"/>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"non-executive director" means a member of a board of directors with a mono structure who is not an executive director or, in the case of a dual management system, a member of the board of directors who exercises control functions of a listed company;</w:t>
      </w:r>
    </w:p>
    <w:p w:rsidR="00000000" w:rsidDel="00000000" w:rsidP="00000000" w:rsidRDefault="00000000" w:rsidRPr="00000000" w14:paraId="000000F7">
      <w:pPr>
        <w:widowControl w:val="0"/>
        <w:numPr>
          <w:ilvl w:val="0"/>
          <w:numId w:val="7"/>
        </w:numPr>
        <w:tabs>
          <w:tab w:val="left" w:leader="none" w:pos="768"/>
          <w:tab w:val="left" w:leader="none" w:pos="770"/>
        </w:tabs>
        <w:spacing w:before="148" w:line="230" w:lineRule="auto"/>
        <w:ind w:left="770" w:right="113" w:hanging="255"/>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"monist structure management system" means a system in which a single board jointly exercises the management and control functions of a listed company;</w:t>
      </w:r>
    </w:p>
    <w:p w:rsidR="00000000" w:rsidDel="00000000" w:rsidP="00000000" w:rsidRDefault="00000000" w:rsidRPr="00000000" w14:paraId="000000F8">
      <w:pPr>
        <w:widowControl w:val="0"/>
        <w:numPr>
          <w:ilvl w:val="0"/>
          <w:numId w:val="7"/>
        </w:numPr>
        <w:tabs>
          <w:tab w:val="left" w:leader="none" w:pos="768"/>
          <w:tab w:val="left" w:leader="none" w:pos="770"/>
        </w:tabs>
        <w:spacing w:before="150" w:line="230" w:lineRule="auto"/>
        <w:ind w:left="770" w:right="109" w:hanging="255"/>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'dual structure management system' means a system in which the management and control functions of a listed company are exercised by separate boards of directors;</w:t>
      </w:r>
    </w:p>
    <w:p w:rsidR="00000000" w:rsidDel="00000000" w:rsidP="00000000" w:rsidRDefault="00000000" w:rsidRPr="00000000" w14:paraId="000000F9">
      <w:pPr>
        <w:widowControl w:val="0"/>
        <w:numPr>
          <w:ilvl w:val="0"/>
          <w:numId w:val="7"/>
        </w:numPr>
        <w:tabs>
          <w:tab w:val="left" w:leader="none" w:pos="768"/>
          <w:tab w:val="left" w:leader="none" w:pos="770"/>
        </w:tabs>
        <w:spacing w:before="147" w:line="230" w:lineRule="auto"/>
        <w:ind w:left="770" w:right="99" w:hanging="255"/>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"micro, small and medium-sized enterprise" or "SME": a company that employs less than 250 people and has an annual turnover of no more than €50 million or a total annual balance sheet of no more than €43 million, or, in the case of SMEs with their registered office in a Member State whose currency is not the euro, the equivalent amounts in the currency of that Member State;</w:t>
      </w:r>
    </w:p>
    <w:p w:rsidR="00000000" w:rsidDel="00000000" w:rsidP="00000000" w:rsidRDefault="00000000" w:rsidRPr="00000000" w14:paraId="000000FA">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FB">
      <w:pPr>
        <w:widowControl w:val="0"/>
        <w:spacing w:before="142"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0FC">
      <w:pPr>
        <w:widowControl w:val="0"/>
        <w:spacing w:before="1" w:line="240" w:lineRule="auto"/>
        <w:ind w:left="655" w:right="245"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5</w:t>
      </w:r>
    </w:p>
    <w:p w:rsidR="00000000" w:rsidDel="00000000" w:rsidP="00000000" w:rsidRDefault="00000000" w:rsidRPr="00000000" w14:paraId="000000FD">
      <w:pPr>
        <w:widowControl w:val="0"/>
        <w:spacing w:before="66" w:line="240" w:lineRule="auto"/>
        <w:rPr>
          <w:rFonts w:ascii="Cambria" w:cs="Cambria" w:eastAsia="Cambria" w:hAnsi="Cambria"/>
          <w:i w:val="1"/>
          <w:sz w:val="19"/>
          <w:szCs w:val="19"/>
        </w:rPr>
      </w:pPr>
      <w:r w:rsidDel="00000000" w:rsidR="00000000" w:rsidRPr="00000000">
        <w:rPr>
          <w:rtl w:val="0"/>
        </w:rPr>
      </w:r>
    </w:p>
    <w:p w:rsidR="00000000" w:rsidDel="00000000" w:rsidP="00000000" w:rsidRDefault="00000000" w:rsidRPr="00000000" w14:paraId="000000FE">
      <w:pPr>
        <w:pStyle w:val="Heading2"/>
        <w:keepNext w:val="0"/>
        <w:keepLines w:val="0"/>
        <w:widowControl w:val="0"/>
        <w:spacing w:after="0" w:before="1"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Applicable law</w:t>
      </w:r>
    </w:p>
    <w:p w:rsidR="00000000" w:rsidDel="00000000" w:rsidP="00000000" w:rsidRDefault="00000000" w:rsidRPr="00000000" w14:paraId="000000FF">
      <w:pPr>
        <w:widowControl w:val="0"/>
        <w:spacing w:before="44"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100">
      <w:pPr>
        <w:widowControl w:val="0"/>
        <w:spacing w:line="230" w:lineRule="auto"/>
        <w:ind w:left="515" w:firstLine="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Member State competent to regulate the matters dealt with in this Directive shall be the Member State in which a given listed company has its registered office. The applicable law will be that of said Member State.</w:t>
      </w:r>
    </w:p>
    <w:p w:rsidR="00000000" w:rsidDel="00000000" w:rsidP="00000000" w:rsidRDefault="00000000" w:rsidRPr="00000000" w14:paraId="00000101">
      <w:pPr>
        <w:widowControl w:val="0"/>
        <w:spacing w:before="144"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02">
      <w:pPr>
        <w:widowControl w:val="0"/>
        <w:spacing w:before="1" w:line="240" w:lineRule="auto"/>
        <w:ind w:left="655" w:right="245"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6</w:t>
      </w:r>
    </w:p>
    <w:p w:rsidR="00000000" w:rsidDel="00000000" w:rsidP="00000000" w:rsidRDefault="00000000" w:rsidRPr="00000000" w14:paraId="00000103">
      <w:pPr>
        <w:widowControl w:val="0"/>
        <w:spacing w:before="66" w:line="240" w:lineRule="auto"/>
        <w:rPr>
          <w:rFonts w:ascii="Cambria" w:cs="Cambria" w:eastAsia="Cambria" w:hAnsi="Cambria"/>
          <w:i w:val="1"/>
          <w:sz w:val="19"/>
          <w:szCs w:val="19"/>
        </w:rPr>
      </w:pPr>
      <w:r w:rsidDel="00000000" w:rsidR="00000000" w:rsidRPr="00000000">
        <w:rPr>
          <w:rtl w:val="0"/>
        </w:rPr>
      </w:r>
    </w:p>
    <w:p w:rsidR="00000000" w:rsidDel="00000000" w:rsidP="00000000" w:rsidRDefault="00000000" w:rsidRPr="00000000" w14:paraId="00000104">
      <w:pPr>
        <w:widowControl w:val="0"/>
        <w:spacing w:before="1"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Objectives regarding gender balance on boards of directors</w:t>
      </w:r>
    </w:p>
    <w:p w:rsidR="00000000" w:rsidDel="00000000" w:rsidP="00000000" w:rsidRDefault="00000000" w:rsidRPr="00000000" w14:paraId="00000105">
      <w:pPr>
        <w:widowControl w:val="0"/>
        <w:spacing w:before="43"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106">
      <w:pPr>
        <w:pStyle w:val="Heading1"/>
        <w:keepNext w:val="0"/>
        <w:keepLines w:val="0"/>
        <w:widowControl w:val="0"/>
        <w:numPr>
          <w:ilvl w:val="0"/>
          <w:numId w:val="5"/>
        </w:numPr>
        <w:tabs>
          <w:tab w:val="left" w:leader="none" w:pos="1234"/>
        </w:tabs>
        <w:spacing w:after="0" w:before="0" w:line="230" w:lineRule="auto"/>
        <w:ind w:left="515" w:right="88"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States</w:t>
      </w:r>
      <w:r w:rsidDel="00000000" w:rsidR="00000000" w:rsidRPr="00000000">
        <w:rPr>
          <w:rFonts w:ascii="Cambria" w:cs="Cambria" w:eastAsia="Cambria" w:hAnsi="Cambria"/>
          <w:sz w:val="20"/>
          <w:szCs w:val="20"/>
          <w:rtl w:val="0"/>
        </w:rPr>
        <w:t xml:space="preserve">Members will ensure that listed companies and SMEs are subject to one or another of the following objectives, which must be achieved by June 30, 2026:</w:t>
      </w:r>
    </w:p>
    <w:p w:rsidR="00000000" w:rsidDel="00000000" w:rsidP="00000000" w:rsidRDefault="00000000" w:rsidRPr="00000000" w14:paraId="00000107">
      <w:pPr>
        <w:widowControl w:val="0"/>
        <w:numPr>
          <w:ilvl w:val="1"/>
          <w:numId w:val="5"/>
        </w:numPr>
        <w:tabs>
          <w:tab w:val="left" w:leader="none" w:pos="770"/>
        </w:tabs>
        <w:spacing w:before="148" w:line="230" w:lineRule="auto"/>
        <w:ind w:left="770" w:right="113" w:hanging="255"/>
        <w:jc w:val="both"/>
        <w:rPr>
          <w:rFonts w:ascii="Cambria" w:cs="Cambria" w:eastAsia="Cambria" w:hAnsi="Cambria"/>
          <w:sz w:val="19"/>
          <w:szCs w:val="19"/>
        </w:rPr>
      </w:pPr>
      <w:r w:rsidDel="00000000" w:rsidR="00000000" w:rsidRPr="00000000">
        <w:rPr>
          <w:rFonts w:ascii="Cambria" w:cs="Cambria" w:eastAsia="Cambria" w:hAnsi="Cambria"/>
          <w:sz w:val="20"/>
          <w:szCs w:val="20"/>
          <w:rtl w:val="0"/>
        </w:rPr>
        <w:t xml:space="preserve">that members of the less represented sex occupy at least </w:t>
      </w:r>
      <w:r w:rsidDel="00000000" w:rsidR="00000000" w:rsidRPr="00000000">
        <w:rPr>
          <w:rFonts w:ascii="Cambria" w:cs="Cambria" w:eastAsia="Cambria" w:hAnsi="Cambria"/>
          <w:sz w:val="19"/>
          <w:szCs w:val="19"/>
          <w:rtl w:val="0"/>
        </w:rPr>
        <w:t xml:space="preserve">40% of non-executive director positions;</w:t>
      </w:r>
    </w:p>
    <w:p w:rsidR="00000000" w:rsidDel="00000000" w:rsidP="00000000" w:rsidRDefault="00000000" w:rsidRPr="00000000" w14:paraId="00000108">
      <w:pPr>
        <w:widowControl w:val="0"/>
        <w:numPr>
          <w:ilvl w:val="1"/>
          <w:numId w:val="5"/>
        </w:numPr>
        <w:tabs>
          <w:tab w:val="left" w:leader="none" w:pos="768"/>
          <w:tab w:val="left" w:leader="none" w:pos="770"/>
        </w:tabs>
        <w:spacing w:before="149" w:line="230" w:lineRule="auto"/>
        <w:ind w:left="770" w:right="103" w:hanging="255"/>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that members of the less represented sex occupy at least </w:t>
      </w:r>
      <w:r w:rsidDel="00000000" w:rsidR="00000000" w:rsidRPr="00000000">
        <w:rPr>
          <w:rFonts w:ascii="Cambria" w:cs="Cambria" w:eastAsia="Cambria" w:hAnsi="Cambria"/>
          <w:sz w:val="18"/>
          <w:szCs w:val="18"/>
          <w:rtl w:val="0"/>
        </w:rPr>
        <w:t xml:space="preserve">33% of </w:t>
      </w:r>
      <w:r w:rsidDel="00000000" w:rsidR="00000000" w:rsidRPr="00000000">
        <w:rPr>
          <w:rFonts w:ascii="Cambria" w:cs="Cambria" w:eastAsia="Cambria" w:hAnsi="Cambria"/>
          <w:sz w:val="19"/>
          <w:szCs w:val="19"/>
          <w:rtl w:val="0"/>
        </w:rPr>
        <w:t xml:space="preserve">total director positions, including both executive and non-executive directors.</w:t>
      </w:r>
    </w:p>
    <w:p w:rsidR="00000000" w:rsidDel="00000000" w:rsidP="00000000" w:rsidRDefault="00000000" w:rsidRPr="00000000" w14:paraId="00000109">
      <w:pPr>
        <w:widowControl w:val="0"/>
        <w:spacing w:before="45"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0A">
      <w:pPr>
        <w:widowControl w:val="0"/>
        <w:numPr>
          <w:ilvl w:val="0"/>
          <w:numId w:val="5"/>
        </w:numPr>
        <w:tabs>
          <w:tab w:val="left" w:leader="none" w:pos="1234"/>
        </w:tabs>
        <w:spacing w:line="230" w:lineRule="auto"/>
        <w:ind w:left="515" w:right="91"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shall ensure that each listed company that is not subject to the target set out in paragraph 1(b) sets individual quantitative targets with a view to improving the balance of gender representation among executive directors. Member States shall ensure that such listed companies and SMEs aim to achieve such individual quantitative targets by 30 June 2029 at the latest.</w:t>
      </w:r>
    </w:p>
    <w:p w:rsidR="00000000" w:rsidDel="00000000" w:rsidP="00000000" w:rsidRDefault="00000000" w:rsidRPr="00000000" w14:paraId="0000010B">
      <w:pPr>
        <w:widowControl w:val="0"/>
        <w:spacing w:before="43"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0C">
      <w:pPr>
        <w:widowControl w:val="0"/>
        <w:numPr>
          <w:ilvl w:val="0"/>
          <w:numId w:val="5"/>
        </w:numPr>
        <w:tabs>
          <w:tab w:val="left" w:leader="none" w:pos="1234"/>
        </w:tabs>
        <w:spacing w:line="230" w:lineRule="auto"/>
        <w:ind w:left="515" w:right="114"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number of non-executive director positions considered necessary to achieve the objective established in section 1, letter a), will be the closest to the proportion of 40%, but not higher than that of 49</w:t>
      </w:r>
    </w:p>
    <w:p w:rsidR="00000000" w:rsidDel="00000000" w:rsidP="00000000" w:rsidRDefault="00000000" w:rsidRPr="00000000" w14:paraId="0000010D">
      <w:pPr>
        <w:widowControl w:val="0"/>
        <w:spacing w:line="230" w:lineRule="auto"/>
        <w:ind w:left="515" w:right="103" w:firstLine="0"/>
        <w:jc w:val="both"/>
        <w:rPr>
          <w:rFonts w:ascii="Cambria" w:cs="Cambria" w:eastAsia="Cambria" w:hAnsi="Cambria"/>
          <w:sz w:val="19"/>
          <w:szCs w:val="19"/>
        </w:rPr>
        <w:sectPr>
          <w:type w:val="nextPage"/>
          <w:pgSz w:h="16834" w:w="11909" w:orient="portrait"/>
          <w:pgMar w:bottom="280" w:top="1960" w:left="850" w:right="1275" w:header="1775" w:footer="0"/>
        </w:sectPr>
      </w:pPr>
      <w:r w:rsidDel="00000000" w:rsidR="00000000" w:rsidRPr="00000000">
        <w:rPr>
          <w:rFonts w:ascii="Cambria" w:cs="Cambria" w:eastAsia="Cambria" w:hAnsi="Cambria"/>
          <w:sz w:val="19"/>
          <w:szCs w:val="19"/>
          <w:rtl w:val="0"/>
        </w:rPr>
        <w:t xml:space="preserve">%. The total number of administrator positions considered necessary to achieve the objective established in paragraph 1, letter b), will be the number closest to the proportion of 33%?, but not higher than that of 49%. These numbers appear in the annex.</w:t>
      </w:r>
    </w:p>
    <w:p w:rsidR="00000000" w:rsidDel="00000000" w:rsidP="00000000" w:rsidRDefault="00000000" w:rsidRPr="00000000" w14:paraId="0000010E">
      <w:pPr>
        <w:widowControl w:val="0"/>
        <w:spacing w:before="166"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0F">
      <w:pPr>
        <w:pStyle w:val="Heading2"/>
        <w:keepNext w:val="0"/>
        <w:keepLines w:val="0"/>
        <w:widowControl w:val="0"/>
        <w:spacing w:after="0" w:before="0" w:line="240" w:lineRule="auto"/>
        <w:ind w:left="3607" w:firstLine="0"/>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Means to achieve the objectives</w:t>
      </w:r>
    </w:p>
    <w:p w:rsidR="00000000" w:rsidDel="00000000" w:rsidP="00000000" w:rsidRDefault="00000000" w:rsidRPr="00000000" w14:paraId="00000110">
      <w:pPr>
        <w:widowControl w:val="0"/>
        <w:spacing w:before="134"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111">
      <w:pPr>
        <w:widowControl w:val="0"/>
        <w:numPr>
          <w:ilvl w:val="0"/>
          <w:numId w:val="2"/>
        </w:numPr>
        <w:tabs>
          <w:tab w:val="left" w:leader="none" w:pos="1234"/>
        </w:tabs>
        <w:spacing w:line="230" w:lineRule="auto"/>
        <w:ind w:left="515" w:right="109"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shall ensure that listed companies and SMEs that do not achieve the targets referred to in Article 5(1)(a) or (b), as appropriate, adjust the candidate selection process for the purposes of appointment or election to director positions. These candidates will be selected on the basis of a comparative appreciation of the training of each candidate. </w:t>
      </w:r>
      <w:r w:rsidDel="00000000" w:rsidR="00000000" w:rsidRPr="00000000">
        <w:rPr>
          <w:rFonts w:ascii="Cambria" w:cs="Cambria" w:eastAsia="Cambria" w:hAnsi="Cambria"/>
          <w:sz w:val="13"/>
          <w:szCs w:val="13"/>
          <w:rtl w:val="0"/>
        </w:rPr>
        <w:t xml:space="preserve">A </w:t>
      </w:r>
      <w:r w:rsidDel="00000000" w:rsidR="00000000" w:rsidRPr="00000000">
        <w:rPr>
          <w:rFonts w:ascii="Cambria" w:cs="Cambria" w:eastAsia="Cambria" w:hAnsi="Cambria"/>
          <w:sz w:val="19"/>
          <w:szCs w:val="19"/>
          <w:rtl w:val="0"/>
        </w:rPr>
        <w:t xml:space="preserve">To this end, clear criteria, formulated in a neutral and unambiguous manner, will be applied in a non-discriminatory manner throughout the entire selection process, including the phases of preparation of vacancy announcements, pre-selection, preparation of the shortlist and the creation of candidate selection groups. These criteria will be established prior to the selection process.</w:t>
      </w:r>
    </w:p>
    <w:p w:rsidR="00000000" w:rsidDel="00000000" w:rsidP="00000000" w:rsidRDefault="00000000" w:rsidRPr="00000000" w14:paraId="00000112">
      <w:pPr>
        <w:widowControl w:val="0"/>
        <w:spacing w:before="134"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13">
      <w:pPr>
        <w:widowControl w:val="0"/>
        <w:numPr>
          <w:ilvl w:val="0"/>
          <w:numId w:val="2"/>
        </w:numPr>
        <w:tabs>
          <w:tab w:val="left" w:leader="none" w:pos="1234"/>
        </w:tabs>
        <w:spacing w:line="230" w:lineRule="auto"/>
        <w:ind w:left="515" w:right="89"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With regard to the selection of candidates for appointment or election to administrator positions, Member States shall ensure that, when choosing among applicants who are equally qualified in terms of their aptitude, competence and professional performance, preference is given to the candidate of the less represented sex, unless, in exceptional cases, there are reasons of higher legal rank, such as the pursuit of other diversity policies, adduced in the context of an objective assessment, which takes into account the specific situation of a candidate of the opposite sex and is based on criteria non-discriminatory, that tip the balance in favor of the candidate of the other sex.</w:t>
      </w:r>
    </w:p>
    <w:p w:rsidR="00000000" w:rsidDel="00000000" w:rsidP="00000000" w:rsidRDefault="00000000" w:rsidRPr="00000000" w14:paraId="00000114">
      <w:pPr>
        <w:widowControl w:val="0"/>
        <w:spacing w:before="135"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15">
      <w:pPr>
        <w:widowControl w:val="0"/>
        <w:numPr>
          <w:ilvl w:val="0"/>
          <w:numId w:val="2"/>
        </w:numPr>
        <w:tabs>
          <w:tab w:val="left" w:leader="none" w:pos="1234"/>
        </w:tabs>
        <w:spacing w:line="230" w:lineRule="auto"/>
        <w:ind w:left="515" w:right="104"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shall ensure that listed companies and SMEs are required to inform any candidate who applies and whose candidature has been considered in the selection of candidates for appointment or election to a director position, of the following:</w:t>
      </w:r>
    </w:p>
    <w:p w:rsidR="00000000" w:rsidDel="00000000" w:rsidP="00000000" w:rsidRDefault="00000000" w:rsidRPr="00000000" w14:paraId="00000116">
      <w:pPr>
        <w:widowControl w:val="0"/>
        <w:numPr>
          <w:ilvl w:val="1"/>
          <w:numId w:val="2"/>
        </w:numPr>
        <w:tabs>
          <w:tab w:val="left" w:leader="none" w:pos="769"/>
        </w:tabs>
        <w:spacing w:before="191" w:line="240" w:lineRule="auto"/>
        <w:ind w:left="769" w:hanging="254"/>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training criteria on which the selection was based;</w:t>
      </w:r>
    </w:p>
    <w:p w:rsidR="00000000" w:rsidDel="00000000" w:rsidP="00000000" w:rsidRDefault="00000000" w:rsidRPr="00000000" w14:paraId="00000117">
      <w:pPr>
        <w:widowControl w:val="0"/>
        <w:numPr>
          <w:ilvl w:val="1"/>
          <w:numId w:val="2"/>
        </w:numPr>
        <w:tabs>
          <w:tab w:val="left" w:leader="none" w:pos="768"/>
        </w:tabs>
        <w:spacing w:before="190" w:line="240" w:lineRule="auto"/>
        <w:ind w:left="768" w:hanging="252.99999999999997"/>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objective comparative assessment of the candidates in accordance with those criteria, and</w:t>
      </w:r>
    </w:p>
    <w:p w:rsidR="00000000" w:rsidDel="00000000" w:rsidP="00000000" w:rsidRDefault="00000000" w:rsidRPr="00000000" w14:paraId="00000118">
      <w:pPr>
        <w:widowControl w:val="0"/>
        <w:numPr>
          <w:ilvl w:val="1"/>
          <w:numId w:val="2"/>
        </w:numPr>
        <w:tabs>
          <w:tab w:val="left" w:leader="none" w:pos="770"/>
        </w:tabs>
        <w:spacing w:before="197" w:line="230" w:lineRule="auto"/>
        <w:ind w:left="770" w:right="246" w:hanging="255"/>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where appropriate, the specific considerations that, exceptionally, tipped the balance in favor of a candidate who is not of the less represented sex.</w:t>
      </w:r>
    </w:p>
    <w:p w:rsidR="00000000" w:rsidDel="00000000" w:rsidP="00000000" w:rsidRDefault="00000000" w:rsidRPr="00000000" w14:paraId="00000119">
      <w:pPr>
        <w:widowControl w:val="0"/>
        <w:spacing w:before="136"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1A">
      <w:pPr>
        <w:widowControl w:val="0"/>
        <w:numPr>
          <w:ilvl w:val="0"/>
          <w:numId w:val="2"/>
        </w:numPr>
        <w:tabs>
          <w:tab w:val="left" w:leader="none" w:pos="1234"/>
        </w:tabs>
        <w:spacing w:line="230" w:lineRule="auto"/>
        <w:ind w:left="515" w:right="105"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shall take the necessary measures, in accordance with their national judicial systems, to ensure that, where an unselected candidate of the less represented sex alleges facts before a court or other competent body that allow it to be presumed that the candidate was of equal qualifications with the candidate of the other sex who was selected for the purpose of appointment or election to a director's position, it is for the listed company to demonstrate that there has been no infringement of Article 6(2).</w:t>
      </w:r>
    </w:p>
    <w:p w:rsidR="00000000" w:rsidDel="00000000" w:rsidP="00000000" w:rsidRDefault="00000000" w:rsidRPr="00000000" w14:paraId="0000011B">
      <w:pPr>
        <w:widowControl w:val="0"/>
        <w:spacing w:before="135"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1C">
      <w:pPr>
        <w:widowControl w:val="0"/>
        <w:spacing w:line="230" w:lineRule="auto"/>
        <w:ind w:left="515" w:firstLine="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This paragraph shall be without prejudice to the power of the Member States to establish a more favorable evidentiary regime for the plaintiff.</w:t>
      </w:r>
    </w:p>
    <w:p w:rsidR="00000000" w:rsidDel="00000000" w:rsidP="00000000" w:rsidRDefault="00000000" w:rsidRPr="00000000" w14:paraId="0000011D">
      <w:pPr>
        <w:widowControl w:val="0"/>
        <w:numPr>
          <w:ilvl w:val="0"/>
          <w:numId w:val="2"/>
        </w:numPr>
        <w:tabs>
          <w:tab w:val="left" w:leader="none" w:pos="1144"/>
        </w:tabs>
        <w:spacing w:before="214" w:line="230" w:lineRule="auto"/>
        <w:ind w:left="515" w:right="157" w:firstLine="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Where the process of selecting candidates for the purpose of appointment or election to director positions is carried out by vote of shareholders or employees, Member States shall require listed companies and SMEs to ensure that voters are provided with adequate information about the measures provided for in this Directive, including sanctions for non-compliance by the listed company.</w:t>
      </w:r>
    </w:p>
    <w:p w:rsidR="00000000" w:rsidDel="00000000" w:rsidP="00000000" w:rsidRDefault="00000000" w:rsidRPr="00000000" w14:paraId="0000011E">
      <w:pPr>
        <w:widowControl w:val="0"/>
        <w:numPr>
          <w:ilvl w:val="0"/>
          <w:numId w:val="2"/>
        </w:numPr>
        <w:tabs>
          <w:tab w:val="left" w:leader="none" w:pos="1144"/>
        </w:tabs>
        <w:spacing w:before="214" w:line="230" w:lineRule="auto"/>
        <w:ind w:left="515" w:right="317" w:firstLine="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European Labor Authority (ELA) will play a supervisory and coordinating role in the application of this directive to ensure an organized implementation in the Member States and promote good practices regarding gender balance on the boards of directors of listed companies and SMEs.</w:t>
      </w:r>
    </w:p>
    <w:p w:rsidR="00000000" w:rsidDel="00000000" w:rsidP="00000000" w:rsidRDefault="00000000" w:rsidRPr="00000000" w14:paraId="0000011F">
      <w:pPr>
        <w:widowControl w:val="0"/>
        <w:numPr>
          <w:ilvl w:val="0"/>
          <w:numId w:val="2"/>
        </w:numPr>
        <w:tabs>
          <w:tab w:val="left" w:leader="none" w:pos="1144"/>
        </w:tabs>
        <w:spacing w:before="207" w:line="218" w:lineRule="auto"/>
        <w:ind w:left="1144" w:hanging="629"/>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In the exercise of its functions the European Labor Authority (ELA) may:</w:t>
      </w:r>
    </w:p>
    <w:p w:rsidR="00000000" w:rsidDel="00000000" w:rsidP="00000000" w:rsidRDefault="00000000" w:rsidRPr="00000000" w14:paraId="00000120">
      <w:pPr>
        <w:widowControl w:val="0"/>
        <w:numPr>
          <w:ilvl w:val="1"/>
          <w:numId w:val="2"/>
        </w:numPr>
        <w:tabs>
          <w:tab w:val="left" w:leader="none" w:pos="1230"/>
        </w:tabs>
        <w:spacing w:before="3" w:line="230" w:lineRule="auto"/>
        <w:ind w:left="1025" w:right="96" w:firstLine="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monitor the implementation of the Directive in the Member States and prepare regular reports on compliance;</w:t>
      </w:r>
    </w:p>
    <w:p w:rsidR="00000000" w:rsidDel="00000000" w:rsidP="00000000" w:rsidRDefault="00000000" w:rsidRPr="00000000" w14:paraId="00000121">
      <w:pPr>
        <w:widowControl w:val="0"/>
        <w:numPr>
          <w:ilvl w:val="1"/>
          <w:numId w:val="2"/>
        </w:numPr>
        <w:tabs>
          <w:tab w:val="left" w:leader="none" w:pos="1272"/>
        </w:tabs>
        <w:spacing w:before="213" w:line="230" w:lineRule="auto"/>
        <w:ind w:left="1025" w:right="100" w:firstLine="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issue guidelines and recommendations to ensure consistent interpretation of regulations across the European Union;</w:t>
      </w:r>
    </w:p>
    <w:p w:rsidR="00000000" w:rsidDel="00000000" w:rsidP="00000000" w:rsidRDefault="00000000" w:rsidRPr="00000000" w14:paraId="00000122">
      <w:pPr>
        <w:widowControl w:val="0"/>
        <w:numPr>
          <w:ilvl w:val="1"/>
          <w:numId w:val="2"/>
        </w:numPr>
        <w:tabs>
          <w:tab w:val="left" w:leader="none" w:pos="1179"/>
        </w:tabs>
        <w:spacing w:before="212" w:line="230" w:lineRule="auto"/>
        <w:ind w:left="1025" w:right="97" w:firstLine="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assist the competent national authorities in the investigation of sanctioning procedures when necessary;</w:t>
      </w:r>
    </w:p>
    <w:p w:rsidR="00000000" w:rsidDel="00000000" w:rsidP="00000000" w:rsidRDefault="00000000" w:rsidRPr="00000000" w14:paraId="00000123">
      <w:pPr>
        <w:widowControl w:val="0"/>
        <w:numPr>
          <w:ilvl w:val="1"/>
          <w:numId w:val="2"/>
        </w:numPr>
        <w:tabs>
          <w:tab w:val="left" w:leader="none" w:pos="1200"/>
        </w:tabs>
        <w:spacing w:before="213" w:line="230" w:lineRule="auto"/>
        <w:ind w:left="1025" w:right="94" w:firstLine="0"/>
        <w:rPr>
          <w:rFonts w:ascii="Cambria" w:cs="Cambria" w:eastAsia="Cambria" w:hAnsi="Cambria"/>
          <w:sz w:val="19"/>
          <w:szCs w:val="19"/>
        </w:rPr>
        <w:sectPr>
          <w:type w:val="nextPage"/>
          <w:pgSz w:h="16834" w:w="11909" w:orient="portrait"/>
          <w:pgMar w:bottom="280" w:top="1960" w:left="850" w:right="1275" w:header="1775" w:footer="0"/>
        </w:sectPr>
      </w:pPr>
      <w:r w:rsidDel="00000000" w:rsidR="00000000" w:rsidRPr="00000000">
        <w:rPr>
          <w:rFonts w:ascii="Cambria" w:cs="Cambria" w:eastAsia="Cambria" w:hAnsi="Cambria"/>
          <w:sz w:val="19"/>
          <w:szCs w:val="19"/>
          <w:rtl w:val="0"/>
        </w:rPr>
        <w:t xml:space="preserve">coordinate cooperation between Member States to improve the effective implementation of the Directive and the exchange of information on sanctions and corrective measures;</w:t>
      </w:r>
    </w:p>
    <w:p w:rsidR="00000000" w:rsidDel="00000000" w:rsidP="00000000" w:rsidRDefault="00000000" w:rsidRPr="00000000" w14:paraId="00000124">
      <w:pPr>
        <w:widowControl w:val="0"/>
        <w:numPr>
          <w:ilvl w:val="1"/>
          <w:numId w:val="2"/>
        </w:numPr>
        <w:tabs>
          <w:tab w:val="left" w:leader="none" w:pos="1188"/>
        </w:tabs>
        <w:spacing w:before="59" w:line="230" w:lineRule="auto"/>
        <w:ind w:left="1025" w:right="91"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publish reports on the impact of the Directive assessing progress on gender in listed companies and SMEs and their boards of directors; also proposing regulatory improvements if necessary.</w:t>
      </w:r>
    </w:p>
    <w:p w:rsidR="00000000" w:rsidDel="00000000" w:rsidP="00000000" w:rsidRDefault="00000000" w:rsidRPr="00000000" w14:paraId="00000125">
      <w:pPr>
        <w:widowControl w:val="0"/>
        <w:numPr>
          <w:ilvl w:val="0"/>
          <w:numId w:val="2"/>
        </w:numPr>
        <w:tabs>
          <w:tab w:val="left" w:leader="none" w:pos="1024"/>
        </w:tabs>
        <w:spacing w:before="213" w:line="230" w:lineRule="auto"/>
        <w:ind w:left="425" w:right="95"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European Labor Authority (ELA) may request from Member States detailed information on the measures adopted to ensure compliance with this Directive and, in the event of repeated non-compliance, recommend the opening of infringement procedures by the European Commission in accordance with Article 258 of the Treaty on the Functioning of the European Union (TFEU).</w:t>
      </w:r>
    </w:p>
    <w:p w:rsidR="00000000" w:rsidDel="00000000" w:rsidP="00000000" w:rsidRDefault="00000000" w:rsidRPr="00000000" w14:paraId="00000126">
      <w:pPr>
        <w:widowControl w:val="0"/>
        <w:spacing w:before="212"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27">
      <w:pPr>
        <w:widowControl w:val="0"/>
        <w:spacing w:line="240" w:lineRule="auto"/>
        <w:ind w:left="655" w:right="245"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8</w:t>
      </w:r>
    </w:p>
    <w:p w:rsidR="00000000" w:rsidDel="00000000" w:rsidP="00000000" w:rsidRDefault="00000000" w:rsidRPr="00000000" w14:paraId="00000128">
      <w:pPr>
        <w:widowControl w:val="0"/>
        <w:spacing w:line="240" w:lineRule="auto"/>
        <w:rPr>
          <w:rFonts w:ascii="Cambria" w:cs="Cambria" w:eastAsia="Cambria" w:hAnsi="Cambria"/>
          <w:i w:val="1"/>
          <w:sz w:val="19"/>
          <w:szCs w:val="19"/>
        </w:rPr>
      </w:pPr>
      <w:r w:rsidDel="00000000" w:rsidR="00000000" w:rsidRPr="00000000">
        <w:rPr>
          <w:rtl w:val="0"/>
        </w:rPr>
      </w:r>
    </w:p>
    <w:p w:rsidR="00000000" w:rsidDel="00000000" w:rsidP="00000000" w:rsidRDefault="00000000" w:rsidRPr="00000000" w14:paraId="00000129">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Reporting</w:t>
      </w:r>
    </w:p>
    <w:p w:rsidR="00000000" w:rsidDel="00000000" w:rsidP="00000000" w:rsidRDefault="00000000" w:rsidRPr="00000000" w14:paraId="0000012A">
      <w:pPr>
        <w:widowControl w:val="0"/>
        <w:spacing w:before="133"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12B">
      <w:pPr>
        <w:widowControl w:val="0"/>
        <w:numPr>
          <w:ilvl w:val="0"/>
          <w:numId w:val="1"/>
        </w:numPr>
        <w:tabs>
          <w:tab w:val="left" w:leader="none" w:pos="1234"/>
        </w:tabs>
        <w:spacing w:line="230" w:lineRule="auto"/>
        <w:ind w:left="515" w:right="104"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shall require listed companies and SMEs to provide information annually to the competent authorities on the gender representation on their boards of directors, distinguishing between executive and non-executive directors, and on the measures taken to achieve the applicable objectives set out in Article 5(1) and, where applicable, the objectives set in accordance with Article 5(2). Member States shall require listed companies and SMEs to publish such information in their website appropriately and easily accessible. On the basis of the information provided, Member States shall publish and regularly update, in an easily accessible and centralized manner, a list of listed companies and SMEs that have achieved one of the objectives set out in Article 5(1).</w:t>
      </w:r>
    </w:p>
    <w:p w:rsidR="00000000" w:rsidDel="00000000" w:rsidP="00000000" w:rsidRDefault="00000000" w:rsidRPr="00000000" w14:paraId="0000012C">
      <w:pPr>
        <w:widowControl w:val="0"/>
        <w:numPr>
          <w:ilvl w:val="0"/>
          <w:numId w:val="1"/>
        </w:numPr>
        <w:tabs>
          <w:tab w:val="left" w:leader="none" w:pos="515"/>
          <w:tab w:val="left" w:leader="none" w:pos="949"/>
        </w:tabs>
        <w:spacing w:before="95" w:line="230" w:lineRule="auto"/>
        <w:ind w:left="515" w:right="106"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ab/>
        <w:t xml:space="preserve">Where a listed company or SME has not achieved one of the objectives set out in Article 5(1) or, where applicable, the objectives set in accordance with Article 5(2), the information referred to in paragraph 1 of this Article shall include the reasons why the objectives were not achieved and a comprehensive description of the measures that the listed company has already taken or intends to take to achieve them.</w:t>
      </w:r>
    </w:p>
    <w:p w:rsidR="00000000" w:rsidDel="00000000" w:rsidP="00000000" w:rsidRDefault="00000000" w:rsidRPr="00000000" w14:paraId="0000012D">
      <w:pPr>
        <w:widowControl w:val="0"/>
        <w:spacing w:before="7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2E">
      <w:pPr>
        <w:widowControl w:val="0"/>
        <w:numPr>
          <w:ilvl w:val="0"/>
          <w:numId w:val="1"/>
        </w:numPr>
        <w:tabs>
          <w:tab w:val="left" w:leader="none" w:pos="515"/>
          <w:tab w:val="left" w:leader="none" w:pos="949"/>
        </w:tabs>
        <w:spacing w:before="1" w:line="230" w:lineRule="auto"/>
        <w:ind w:left="515" w:right="111"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ab/>
        <w:t xml:space="preserve">Where applicable, the information referred to in paragraphs 1 and 2 of this Article shall also be included in the corporate governance statement of the company, in accordance with the relevant provisions of Directive 2013/34/EU.</w:t>
      </w:r>
    </w:p>
    <w:p w:rsidR="00000000" w:rsidDel="00000000" w:rsidP="00000000" w:rsidRDefault="00000000" w:rsidRPr="00000000" w14:paraId="0000012F">
      <w:pPr>
        <w:widowControl w:val="0"/>
        <w:numPr>
          <w:ilvl w:val="0"/>
          <w:numId w:val="1"/>
        </w:numPr>
        <w:tabs>
          <w:tab w:val="left" w:leader="none" w:pos="515"/>
          <w:tab w:val="left" w:leader="none" w:pos="949"/>
        </w:tabs>
        <w:spacing w:before="212" w:line="230" w:lineRule="auto"/>
        <w:ind w:left="515" w:right="107"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ab/>
        <w:t xml:space="preserve">Where appropriate, at the request of the European Labor Authority, the information issued by listed companies and SMEs must be sent to said Authority.</w:t>
      </w:r>
    </w:p>
    <w:p w:rsidR="00000000" w:rsidDel="00000000" w:rsidP="00000000" w:rsidRDefault="00000000" w:rsidRPr="00000000" w14:paraId="00000130">
      <w:pPr>
        <w:widowControl w:val="0"/>
        <w:spacing w:before="78"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31">
      <w:pPr>
        <w:widowControl w:val="0"/>
        <w:numPr>
          <w:ilvl w:val="0"/>
          <w:numId w:val="1"/>
        </w:numPr>
        <w:tabs>
          <w:tab w:val="left" w:leader="none" w:pos="515"/>
          <w:tab w:val="left" w:leader="none" w:pos="949"/>
        </w:tabs>
        <w:spacing w:line="230" w:lineRule="auto"/>
        <w:ind w:left="515" w:right="102" w:hanging="450"/>
        <w:jc w:val="both"/>
        <w:rPr>
          <w:rFonts w:ascii="Cambria" w:cs="Cambria" w:eastAsia="Cambria" w:hAnsi="Cambria"/>
          <w:sz w:val="19"/>
          <w:szCs w:val="19"/>
        </w:rPr>
        <w:sectPr>
          <w:type w:val="nextPage"/>
          <w:pgSz w:h="16834" w:w="11909" w:orient="portrait"/>
          <w:pgMar w:bottom="280" w:top="1600" w:left="850" w:right="1275" w:header="0" w:footer="0"/>
        </w:sectPr>
      </w:pPr>
      <w:r w:rsidDel="00000000" w:rsidR="00000000" w:rsidRPr="00000000">
        <w:rPr>
          <w:rFonts w:ascii="Cambria" w:cs="Cambria" w:eastAsia="Cambria" w:hAnsi="Cambria"/>
          <w:sz w:val="19"/>
          <w:szCs w:val="19"/>
          <w:rtl w:val="0"/>
        </w:rPr>
        <w:tab/>
        <w:t xml:space="preserve">The obligations set out in paragraphs 1 and 2 of this Article shall not apply in a Member State that has suspended the application of Article 6 in accordance with the provisions of Article 12 where national law establishes reporting obligations that ensure the regular publication of information regarding the progress made by listed companies and SMEs towards a more balanced representation of women and men on their boards of directors.</w:t>
      </w:r>
    </w:p>
    <w:p w:rsidR="00000000" w:rsidDel="00000000" w:rsidP="00000000" w:rsidRDefault="00000000" w:rsidRPr="00000000" w14:paraId="00000132">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33">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34">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35">
      <w:pPr>
        <w:widowControl w:val="0"/>
        <w:spacing w:before="13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36">
      <w:pPr>
        <w:widowControl w:val="0"/>
        <w:spacing w:line="240" w:lineRule="auto"/>
        <w:ind w:left="655" w:right="245"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9</w:t>
      </w:r>
    </w:p>
    <w:p w:rsidR="00000000" w:rsidDel="00000000" w:rsidP="00000000" w:rsidRDefault="00000000" w:rsidRPr="00000000" w14:paraId="00000137">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Sanctions and additional measures</w:t>
      </w:r>
    </w:p>
    <w:p w:rsidR="00000000" w:rsidDel="00000000" w:rsidP="00000000" w:rsidRDefault="00000000" w:rsidRPr="00000000" w14:paraId="00000138">
      <w:pPr>
        <w:widowControl w:val="0"/>
        <w:spacing w:before="78"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139">
      <w:pPr>
        <w:widowControl w:val="0"/>
        <w:numPr>
          <w:ilvl w:val="1"/>
          <w:numId w:val="1"/>
        </w:numPr>
        <w:tabs>
          <w:tab w:val="left" w:leader="none" w:pos="1234"/>
        </w:tabs>
        <w:spacing w:line="230" w:lineRule="auto"/>
        <w:ind w:left="515" w:right="88"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shall establish the sanctions regime applicable to infringements by listed companies and SMEs of national provisions adopted in accordance with the provisions of Article 5(2), Article 6 and Article 7, as appropriate, and shall take all necessary measures to ensure their application. In particular, Member States shall ensure that they have adequate administrative or judicial procedures to enforce the obligations arising from this Directive. The sanctions established will be effective, proportionate and dissuasive. Such sanctions may take the form of fines or the possibility for a court to annul or declare invalid a decision relating to the selection of directors made contrary to the national provisions adopted pursuant to Article 6. Member States shall notify the Commission, no later than 28 December 2024, of such scheme and measures, as well as, without delay, of any subsequent amendments affecting them.</w:t>
      </w:r>
    </w:p>
    <w:p w:rsidR="00000000" w:rsidDel="00000000" w:rsidP="00000000" w:rsidRDefault="00000000" w:rsidRPr="00000000" w14:paraId="0000013A">
      <w:pPr>
        <w:widowControl w:val="0"/>
        <w:spacing w:before="74"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3B">
      <w:pPr>
        <w:widowControl w:val="0"/>
        <w:numPr>
          <w:ilvl w:val="1"/>
          <w:numId w:val="1"/>
        </w:numPr>
        <w:tabs>
          <w:tab w:val="left" w:leader="none" w:pos="1234"/>
        </w:tabs>
        <w:spacing w:line="230" w:lineRule="auto"/>
        <w:ind w:left="515" w:right="104"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Listed companies and SMEs may only be held liable for acts or omissions that can be attributed to them in accordance with national law. However, as explained in Article 46 of this Directive, the European Labor Authority (ELA) may, in the event of repeated non-compliance with this Directive, recommend to the corresponding Member State the opening of infringement procedures by the European Commission in accordance with Article 258 of the Treaty on the Functioning of the European Union (TFEU).</w:t>
      </w:r>
    </w:p>
    <w:p w:rsidR="00000000" w:rsidDel="00000000" w:rsidP="00000000" w:rsidRDefault="00000000" w:rsidRPr="00000000" w14:paraId="0000013C">
      <w:pPr>
        <w:widowControl w:val="0"/>
        <w:spacing w:before="7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3D">
      <w:pPr>
        <w:widowControl w:val="0"/>
        <w:numPr>
          <w:ilvl w:val="1"/>
          <w:numId w:val="1"/>
        </w:numPr>
        <w:tabs>
          <w:tab w:val="left" w:leader="none" w:pos="1234"/>
        </w:tabs>
        <w:spacing w:line="230" w:lineRule="auto"/>
        <w:ind w:left="515" w:right="106"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shall ensure that, in the execution of public contracts and concessions, listed companies and SMEs comply with applicable social and labor law obligations, in accordance with current Union law.</w:t>
      </w:r>
    </w:p>
    <w:p w:rsidR="00000000" w:rsidDel="00000000" w:rsidP="00000000" w:rsidRDefault="00000000" w:rsidRPr="00000000" w14:paraId="0000013E">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3F">
      <w:pPr>
        <w:widowControl w:val="0"/>
        <w:spacing w:before="218"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40">
      <w:pPr>
        <w:widowControl w:val="0"/>
        <w:spacing w:line="240" w:lineRule="auto"/>
        <w:ind w:left="655" w:right="245"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10</w:t>
      </w:r>
    </w:p>
    <w:p w:rsidR="00000000" w:rsidDel="00000000" w:rsidP="00000000" w:rsidRDefault="00000000" w:rsidRPr="00000000" w14:paraId="00000141">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Minimum requirements</w:t>
      </w:r>
    </w:p>
    <w:p w:rsidR="00000000" w:rsidDel="00000000" w:rsidP="00000000" w:rsidRDefault="00000000" w:rsidRPr="00000000" w14:paraId="00000142">
      <w:pPr>
        <w:widowControl w:val="0"/>
        <w:spacing w:before="78"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143">
      <w:pPr>
        <w:widowControl w:val="0"/>
        <w:spacing w:line="230" w:lineRule="auto"/>
        <w:ind w:left="515" w:right="105"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may adopt or maintain more favorable provisions than those established in this Directive to ensure a more balanced representation of women and men with regard to listed companies and SMEs incorporated in their national territory.</w:t>
      </w:r>
    </w:p>
    <w:p w:rsidR="00000000" w:rsidDel="00000000" w:rsidP="00000000" w:rsidRDefault="00000000" w:rsidRPr="00000000" w14:paraId="00000144">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45">
      <w:pPr>
        <w:widowControl w:val="0"/>
        <w:spacing w:before="2"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46">
      <w:pPr>
        <w:widowControl w:val="0"/>
        <w:spacing w:line="240" w:lineRule="auto"/>
        <w:ind w:left="655" w:right="245"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11</w:t>
      </w:r>
    </w:p>
    <w:p w:rsidR="00000000" w:rsidDel="00000000" w:rsidP="00000000" w:rsidRDefault="00000000" w:rsidRPr="00000000" w14:paraId="00000147">
      <w:pPr>
        <w:widowControl w:val="0"/>
        <w:spacing w:before="103" w:line="240" w:lineRule="auto"/>
        <w:rPr>
          <w:rFonts w:ascii="Cambria" w:cs="Cambria" w:eastAsia="Cambria" w:hAnsi="Cambria"/>
          <w:i w:val="1"/>
          <w:sz w:val="19"/>
          <w:szCs w:val="19"/>
        </w:rPr>
      </w:pPr>
      <w:r w:rsidDel="00000000" w:rsidR="00000000" w:rsidRPr="00000000">
        <w:rPr>
          <w:rtl w:val="0"/>
        </w:rPr>
      </w:r>
    </w:p>
    <w:p w:rsidR="00000000" w:rsidDel="00000000" w:rsidP="00000000" w:rsidRDefault="00000000" w:rsidRPr="00000000" w14:paraId="00000148">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Body to promote gender balance in listed companies</w:t>
      </w:r>
    </w:p>
    <w:p w:rsidR="00000000" w:rsidDel="00000000" w:rsidP="00000000" w:rsidRDefault="00000000" w:rsidRPr="00000000" w14:paraId="00000149">
      <w:pPr>
        <w:widowControl w:val="0"/>
        <w:spacing w:before="77"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14A">
      <w:pPr>
        <w:widowControl w:val="0"/>
        <w:spacing w:line="230" w:lineRule="auto"/>
        <w:ind w:left="515" w:right="103" w:firstLine="0"/>
        <w:jc w:val="both"/>
        <w:rPr>
          <w:rFonts w:ascii="Cambria" w:cs="Cambria" w:eastAsia="Cambria" w:hAnsi="Cambria"/>
          <w:sz w:val="17"/>
          <w:szCs w:val="17"/>
        </w:rPr>
      </w:pPr>
      <w:r w:rsidDel="00000000" w:rsidR="00000000" w:rsidRPr="00000000">
        <w:rPr>
          <w:rFonts w:ascii="Cambria" w:cs="Cambria" w:eastAsia="Cambria" w:hAnsi="Cambria"/>
          <w:sz w:val="19"/>
          <w:szCs w:val="19"/>
          <w:rtl w:val="0"/>
        </w:rPr>
        <w:t xml:space="preserve">Member States shall designate one or more bodies responsible for promoting, analyzing, monitoring and supporting gender balance on boards of directors. </w:t>
      </w:r>
      <w:r w:rsidDel="00000000" w:rsidR="00000000" w:rsidRPr="00000000">
        <w:rPr>
          <w:rFonts w:ascii="Cambria" w:cs="Cambria" w:eastAsia="Cambria" w:hAnsi="Cambria"/>
          <w:sz w:val="13"/>
          <w:szCs w:val="13"/>
          <w:rtl w:val="0"/>
        </w:rPr>
        <w:t xml:space="preserve">A </w:t>
      </w:r>
      <w:r w:rsidDel="00000000" w:rsidR="00000000" w:rsidRPr="00000000">
        <w:rPr>
          <w:rFonts w:ascii="Cambria" w:cs="Cambria" w:eastAsia="Cambria" w:hAnsi="Cambria"/>
          <w:sz w:val="19"/>
          <w:szCs w:val="19"/>
          <w:rtl w:val="0"/>
        </w:rPr>
        <w:t xml:space="preserve">To this end, Member States may designate, for example, equality bodies that they have designated in accordance with Article 20 of Directive 2006/54/EC of the European Parliament and of the Council (</w:t>
      </w:r>
      <w:r w:rsidDel="00000000" w:rsidR="00000000" w:rsidRPr="00000000">
        <w:rPr>
          <w:rFonts w:ascii="Cambria" w:cs="Cambria" w:eastAsia="Cambria" w:hAnsi="Cambria"/>
          <w:sz w:val="16.666666666666668"/>
          <w:szCs w:val="16.666666666666668"/>
          <w:vertAlign w:val="superscript"/>
          <w:rtl w:val="0"/>
        </w:rPr>
        <w:t xml:space="preserve">13</w:t>
      </w:r>
      <w:r w:rsidDel="00000000" w:rsidR="00000000" w:rsidRPr="00000000">
        <w:rPr>
          <w:rFonts w:ascii="Cambria" w:cs="Cambria" w:eastAsia="Cambria" w:hAnsi="Cambria"/>
          <w:sz w:val="17"/>
          <w:szCs w:val="17"/>
          <w:rtl w:val="0"/>
        </w:rPr>
        <w:t xml:space="preserve">)</w:t>
      </w:r>
    </w:p>
    <w:p w:rsidR="00000000" w:rsidDel="00000000" w:rsidP="00000000" w:rsidRDefault="00000000" w:rsidRPr="00000000" w14:paraId="0000014B">
      <w:pPr>
        <w:widowControl w:val="0"/>
        <w:spacing w:before="59"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4C">
      <w:pPr>
        <w:widowControl w:val="0"/>
        <w:spacing w:line="240" w:lineRule="auto"/>
        <w:ind w:left="718" w:right="243"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12</w:t>
      </w:r>
    </w:p>
    <w:p w:rsidR="00000000" w:rsidDel="00000000" w:rsidP="00000000" w:rsidRDefault="00000000" w:rsidRPr="00000000" w14:paraId="0000014D">
      <w:pPr>
        <w:widowControl w:val="0"/>
        <w:spacing w:before="205" w:line="240" w:lineRule="auto"/>
        <w:rPr>
          <w:rFonts w:ascii="Cambria" w:cs="Cambria" w:eastAsia="Cambria" w:hAnsi="Cambria"/>
          <w:i w:val="1"/>
          <w:sz w:val="19"/>
          <w:szCs w:val="19"/>
        </w:rPr>
      </w:pPr>
      <w:r w:rsidDel="00000000" w:rsidR="00000000" w:rsidRPr="00000000">
        <w:rPr>
          <w:rtl w:val="0"/>
        </w:rPr>
      </w:r>
    </w:p>
    <w:p w:rsidR="00000000" w:rsidDel="00000000" w:rsidP="00000000" w:rsidRDefault="00000000" w:rsidRPr="00000000" w14:paraId="0000014E">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Transposition</w:t>
      </w:r>
    </w:p>
    <w:p w:rsidR="00000000" w:rsidDel="00000000" w:rsidP="00000000" w:rsidRDefault="00000000" w:rsidRPr="00000000" w14:paraId="0000014F">
      <w:pPr>
        <w:widowControl w:val="0"/>
        <w:spacing w:before="167"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150">
      <w:pPr>
        <w:widowControl w:val="0"/>
        <w:numPr>
          <w:ilvl w:val="0"/>
          <w:numId w:val="4"/>
        </w:numPr>
        <w:tabs>
          <w:tab w:val="left" w:leader="none" w:pos="515"/>
          <w:tab w:val="left" w:leader="none" w:pos="949"/>
        </w:tabs>
        <w:spacing w:before="1" w:line="230" w:lineRule="auto"/>
        <w:ind w:left="515" w:right="113"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ab/>
        <w:t xml:space="preserve">Member States shall adopt and publish, no later than December 28, 2024, the legal, regulatory and administrative provisions necessary to comply with the provisions of this Directive. They shall inform the Commission immediately.</w:t>
      </w:r>
    </w:p>
    <w:p w:rsidR="00000000" w:rsidDel="00000000" w:rsidP="00000000" w:rsidRDefault="00000000" w:rsidRPr="00000000" w14:paraId="00000151">
      <w:pPr>
        <w:widowControl w:val="0"/>
        <w:spacing w:before="170"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52">
      <w:pPr>
        <w:widowControl w:val="0"/>
        <w:spacing w:line="230" w:lineRule="auto"/>
        <w:ind w:left="515" w:right="110"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When such provisions are adopted by Member States, they shall include a reference to this Directive or be accompanied by such a reference in their official publication. Member States shall establish the modalities of the aforementioned reference.</w:t>
      </w:r>
    </w:p>
    <w:p w:rsidR="00000000" w:rsidDel="00000000" w:rsidP="00000000" w:rsidRDefault="00000000" w:rsidRPr="00000000" w14:paraId="00000153">
      <w:pPr>
        <w:widowControl w:val="0"/>
        <w:spacing w:before="170"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54">
      <w:pPr>
        <w:widowControl w:val="0"/>
        <w:numPr>
          <w:ilvl w:val="0"/>
          <w:numId w:val="4"/>
        </w:numPr>
        <w:tabs>
          <w:tab w:val="left" w:leader="none" w:pos="515"/>
          <w:tab w:val="left" w:leader="none" w:pos="949"/>
        </w:tabs>
        <w:spacing w:line="230" w:lineRule="auto"/>
        <w:ind w:left="515" w:right="103" w:hanging="450"/>
        <w:jc w:val="both"/>
        <w:rPr>
          <w:rFonts w:ascii="Cambria" w:cs="Cambria" w:eastAsia="Cambria" w:hAnsi="Cambria"/>
          <w:sz w:val="19"/>
          <w:szCs w:val="19"/>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9"/>
          <w:szCs w:val="19"/>
          <w:rtl w:val="0"/>
        </w:rPr>
        <w:tab/>
        <w:t xml:space="preserve">Member States that have suspended the application of Article 6 in accordance with Article 12 shall immediately communicate to the Commission the information demonstrating that the conditions set out in Article 12 are met.</w:t>
      </w:r>
    </w:p>
    <w:p w:rsidR="00000000" w:rsidDel="00000000" w:rsidP="00000000" w:rsidRDefault="00000000" w:rsidRPr="00000000" w14:paraId="00000155">
      <w:pPr>
        <w:widowControl w:val="0"/>
        <w:spacing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56">
      <w:pPr>
        <w:widowControl w:val="0"/>
        <w:spacing w:before="142"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57">
      <w:pPr>
        <w:widowControl w:val="0"/>
        <w:numPr>
          <w:ilvl w:val="0"/>
          <w:numId w:val="4"/>
        </w:numPr>
        <w:tabs>
          <w:tab w:val="left" w:leader="none" w:pos="515"/>
          <w:tab w:val="left" w:leader="none" w:pos="949"/>
        </w:tabs>
        <w:spacing w:line="230" w:lineRule="auto"/>
        <w:ind w:left="515" w:right="116"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ab/>
        <w:t xml:space="preserve">Member States shall communicate to the Commission the text of the main provisions of national law that they adopt in the field governed by this Directive.</w:t>
      </w:r>
    </w:p>
    <w:p w:rsidR="00000000" w:rsidDel="00000000" w:rsidP="00000000" w:rsidRDefault="00000000" w:rsidRPr="00000000" w14:paraId="00000158">
      <w:pPr>
        <w:widowControl w:val="0"/>
        <w:spacing w:before="214" w:line="240" w:lineRule="auto"/>
        <w:ind w:left="655" w:right="515"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13</w:t>
      </w:r>
    </w:p>
    <w:p w:rsidR="00000000" w:rsidDel="00000000" w:rsidP="00000000" w:rsidRDefault="00000000" w:rsidRPr="00000000" w14:paraId="00000159">
      <w:pPr>
        <w:widowControl w:val="0"/>
        <w:spacing w:before="206" w:line="240" w:lineRule="auto"/>
        <w:rPr>
          <w:rFonts w:ascii="Cambria" w:cs="Cambria" w:eastAsia="Cambria" w:hAnsi="Cambria"/>
          <w:i w:val="1"/>
          <w:sz w:val="19"/>
          <w:szCs w:val="19"/>
        </w:rPr>
      </w:pPr>
      <w:r w:rsidDel="00000000" w:rsidR="00000000" w:rsidRPr="00000000">
        <w:rPr>
          <w:rtl w:val="0"/>
        </w:rPr>
      </w:r>
    </w:p>
    <w:p w:rsidR="00000000" w:rsidDel="00000000" w:rsidP="00000000" w:rsidRDefault="00000000" w:rsidRPr="00000000" w14:paraId="0000015A">
      <w:pPr>
        <w:pStyle w:val="Heading2"/>
        <w:keepNext w:val="0"/>
        <w:keepLines w:val="0"/>
        <w:widowControl w:val="0"/>
        <w:spacing w:after="0" w:before="0" w:line="240" w:lineRule="auto"/>
        <w:ind w:left="655" w:right="245"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Suspension of the application of article 6</w:t>
      </w:r>
    </w:p>
    <w:p w:rsidR="00000000" w:rsidDel="00000000" w:rsidP="00000000" w:rsidRDefault="00000000" w:rsidRPr="00000000" w14:paraId="0000015B">
      <w:pPr>
        <w:widowControl w:val="0"/>
        <w:spacing w:before="167" w:line="240" w:lineRule="auto"/>
        <w:rPr>
          <w:rFonts w:ascii="Cambria" w:cs="Cambria" w:eastAsia="Cambria" w:hAnsi="Cambria"/>
          <w:b w:val="1"/>
          <w:sz w:val="19"/>
          <w:szCs w:val="19"/>
        </w:rPr>
      </w:pPr>
      <w:r w:rsidDel="00000000" w:rsidR="00000000" w:rsidRPr="00000000">
        <w:rPr>
          <w:rtl w:val="0"/>
        </w:rPr>
      </w:r>
    </w:p>
    <w:p w:rsidR="00000000" w:rsidDel="00000000" w:rsidP="00000000" w:rsidRDefault="00000000" w:rsidRPr="00000000" w14:paraId="0000015C">
      <w:pPr>
        <w:widowControl w:val="0"/>
        <w:numPr>
          <w:ilvl w:val="0"/>
          <w:numId w:val="4"/>
        </w:numPr>
        <w:tabs>
          <w:tab w:val="left" w:leader="none" w:pos="515"/>
          <w:tab w:val="left" w:leader="none" w:pos="949"/>
        </w:tabs>
        <w:spacing w:line="230" w:lineRule="auto"/>
        <w:ind w:left="515" w:right="111"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ab/>
        <w:t xml:space="preserve">A Member State may suspend the application of Article 6 and, where applicable, Article 5(2) no later than 27 December 2025, when the following conditions have been met in that Member State:</w:t>
      </w:r>
    </w:p>
    <w:p w:rsidR="00000000" w:rsidDel="00000000" w:rsidP="00000000" w:rsidRDefault="00000000" w:rsidRPr="00000000" w14:paraId="0000015D">
      <w:pPr>
        <w:widowControl w:val="0"/>
        <w:numPr>
          <w:ilvl w:val="1"/>
          <w:numId w:val="4"/>
        </w:numPr>
        <w:tabs>
          <w:tab w:val="left" w:leader="none" w:pos="1430"/>
        </w:tabs>
        <w:spacing w:before="217" w:line="230" w:lineRule="auto"/>
        <w:ind w:left="1430" w:right="581" w:hanging="450"/>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members of the less represented sex hold at least 30% of the non-executive director positions or at least 25% of the total director positions in listed companies, or</w:t>
      </w:r>
    </w:p>
    <w:p w:rsidR="00000000" w:rsidDel="00000000" w:rsidP="00000000" w:rsidRDefault="00000000" w:rsidRPr="00000000" w14:paraId="0000015E">
      <w:pPr>
        <w:widowControl w:val="0"/>
        <w:numPr>
          <w:ilvl w:val="1"/>
          <w:numId w:val="4"/>
        </w:numPr>
        <w:tabs>
          <w:tab w:val="left" w:leader="none" w:pos="1429"/>
        </w:tabs>
        <w:spacing w:before="212" w:line="240" w:lineRule="auto"/>
        <w:ind w:left="1429" w:hanging="449.00000000000006"/>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the national law of that Member State:</w:t>
      </w:r>
    </w:p>
    <w:p w:rsidR="00000000" w:rsidDel="00000000" w:rsidP="00000000" w:rsidRDefault="00000000" w:rsidRPr="00000000" w14:paraId="0000015F">
      <w:pPr>
        <w:widowControl w:val="0"/>
        <w:numPr>
          <w:ilvl w:val="2"/>
          <w:numId w:val="4"/>
        </w:numPr>
        <w:tabs>
          <w:tab w:val="left" w:leader="none" w:pos="2360"/>
        </w:tabs>
        <w:spacing w:before="215" w:line="230" w:lineRule="auto"/>
        <w:ind w:left="2360" w:right="107"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require members of the underrepresented sex to hold at least 30% of non-executive director positions or at least 25% of total director positions in listed companies;</w:t>
      </w:r>
    </w:p>
    <w:p w:rsidR="00000000" w:rsidDel="00000000" w:rsidP="00000000" w:rsidRDefault="00000000" w:rsidRPr="00000000" w14:paraId="00000160">
      <w:pPr>
        <w:widowControl w:val="0"/>
        <w:numPr>
          <w:ilvl w:val="2"/>
          <w:numId w:val="4"/>
        </w:numPr>
        <w:tabs>
          <w:tab w:val="left" w:leader="none" w:pos="2360"/>
        </w:tabs>
        <w:spacing w:before="218" w:line="230" w:lineRule="auto"/>
        <w:ind w:left="2360" w:right="103"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includes effective, proportionate and dissuasive enforcement measures in the event of non-compliance with the requirements mentioned in point i), and</w:t>
      </w:r>
    </w:p>
    <w:p w:rsidR="00000000" w:rsidDel="00000000" w:rsidP="00000000" w:rsidRDefault="00000000" w:rsidRPr="00000000" w14:paraId="00000161">
      <w:pPr>
        <w:widowControl w:val="0"/>
        <w:numPr>
          <w:ilvl w:val="2"/>
          <w:numId w:val="4"/>
        </w:numPr>
        <w:tabs>
          <w:tab w:val="left" w:leader="none" w:pos="2360"/>
        </w:tabs>
        <w:spacing w:before="218" w:line="230" w:lineRule="auto"/>
        <w:ind w:left="2360" w:right="110"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require all listed companies and SMEs to which such national law does not apply to set individual quantitative targets for all director positions.</w:t>
      </w:r>
    </w:p>
    <w:p w:rsidR="00000000" w:rsidDel="00000000" w:rsidP="00000000" w:rsidRDefault="00000000" w:rsidRPr="00000000" w14:paraId="00000162">
      <w:pPr>
        <w:widowControl w:val="0"/>
        <w:spacing w:before="170"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63">
      <w:pPr>
        <w:widowControl w:val="0"/>
        <w:spacing w:before="1" w:line="230" w:lineRule="auto"/>
        <w:ind w:left="515" w:right="102"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Where a Member State has suspended the application of Article 6 and, where applicable, Article 5(2) on the basis of any of the conditions set out in the first subparagraph of this paragraph, the objectives set out in Article 5(1) shall be deemed to have been achieved in that Member State.</w:t>
      </w:r>
    </w:p>
    <w:p w:rsidR="00000000" w:rsidDel="00000000" w:rsidP="00000000" w:rsidRDefault="00000000" w:rsidRPr="00000000" w14:paraId="00000164">
      <w:pPr>
        <w:widowControl w:val="0"/>
        <w:spacing w:before="168"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65">
      <w:pPr>
        <w:widowControl w:val="0"/>
        <w:numPr>
          <w:ilvl w:val="0"/>
          <w:numId w:val="4"/>
        </w:numPr>
        <w:tabs>
          <w:tab w:val="left" w:leader="none" w:pos="515"/>
          <w:tab w:val="left" w:leader="none" w:pos="949"/>
        </w:tabs>
        <w:spacing w:before="1" w:line="230" w:lineRule="auto"/>
        <w:ind w:left="515" w:right="95"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ab/>
      </w:r>
      <w:r w:rsidDel="00000000" w:rsidR="00000000" w:rsidRPr="00000000">
        <w:rPr>
          <w:rFonts w:ascii="Cambria" w:cs="Cambria" w:eastAsia="Cambria" w:hAnsi="Cambria"/>
          <w:sz w:val="13"/>
          <w:szCs w:val="13"/>
          <w:rtl w:val="0"/>
        </w:rPr>
        <w:t xml:space="preserve">A </w:t>
      </w:r>
      <w:r w:rsidDel="00000000" w:rsidR="00000000" w:rsidRPr="00000000">
        <w:rPr>
          <w:rFonts w:ascii="Cambria" w:cs="Cambria" w:eastAsia="Cambria" w:hAnsi="Cambria"/>
          <w:sz w:val="19"/>
          <w:szCs w:val="19"/>
          <w:rtl w:val="0"/>
        </w:rPr>
        <w:t xml:space="preserve">For the purpose of assessing compliance with the conditions for a suspension under paragraph 1, first subparagraph, letter a) or b), the number of administrator positions shall be the closest to the ratio of 30</w:t>
      </w:r>
    </w:p>
    <w:p w:rsidR="00000000" w:rsidDel="00000000" w:rsidP="00000000" w:rsidRDefault="00000000" w:rsidRPr="00000000" w14:paraId="00000166">
      <w:pPr>
        <w:widowControl w:val="0"/>
        <w:spacing w:line="230" w:lineRule="auto"/>
        <w:ind w:left="515" w:right="89"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 of non-executive directors or 25% of total director positions, but not higher than 39%. This will also be the case where, under national law, the quantitative objectives set out in Article 5 apply separately to shareholders' and employees' representatives.</w:t>
      </w:r>
    </w:p>
    <w:p w:rsidR="00000000" w:rsidDel="00000000" w:rsidP="00000000" w:rsidRDefault="00000000" w:rsidRPr="00000000" w14:paraId="00000167">
      <w:pPr>
        <w:widowControl w:val="0"/>
        <w:spacing w:before="169"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68">
      <w:pPr>
        <w:widowControl w:val="0"/>
        <w:numPr>
          <w:ilvl w:val="0"/>
          <w:numId w:val="4"/>
        </w:numPr>
        <w:tabs>
          <w:tab w:val="left" w:leader="none" w:pos="515"/>
          <w:tab w:val="left" w:leader="none" w:pos="949"/>
        </w:tabs>
        <w:spacing w:line="230" w:lineRule="auto"/>
        <w:ind w:left="515" w:right="104" w:hanging="45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ab/>
        <w:t xml:space="preserve">Where in a Member State which has suspended the application of Article 6 and, where applicable, Article 5(2) in accordance with paragraph 1 of this Article, the conditions laid down in paragraph 1 of this Article are no longer met, Article 6 and, where applicable, Article 5(2) shall apply no later than six months after those conditions have ceased to be met.</w:t>
      </w:r>
    </w:p>
    <w:p w:rsidR="00000000" w:rsidDel="00000000" w:rsidP="00000000" w:rsidRDefault="00000000" w:rsidRPr="00000000" w14:paraId="00000169">
      <w:pPr>
        <w:widowControl w:val="0"/>
        <w:spacing w:before="83"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6A">
      <w:pPr>
        <w:widowControl w:val="0"/>
        <w:spacing w:line="240" w:lineRule="auto"/>
        <w:ind w:left="725" w:right="243"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14</w:t>
      </w:r>
    </w:p>
    <w:p w:rsidR="00000000" w:rsidDel="00000000" w:rsidP="00000000" w:rsidRDefault="00000000" w:rsidRPr="00000000" w14:paraId="0000016B">
      <w:pPr>
        <w:pStyle w:val="Heading2"/>
        <w:keepNext w:val="0"/>
        <w:keepLines w:val="0"/>
        <w:widowControl w:val="0"/>
        <w:spacing w:after="0" w:before="129" w:line="240" w:lineRule="auto"/>
        <w:ind w:left="687" w:right="243" w:firstLine="0"/>
        <w:jc w:val="center"/>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Revision</w:t>
      </w:r>
    </w:p>
    <w:p w:rsidR="00000000" w:rsidDel="00000000" w:rsidP="00000000" w:rsidRDefault="00000000" w:rsidRPr="00000000" w14:paraId="0000016C">
      <w:pPr>
        <w:widowControl w:val="0"/>
        <w:numPr>
          <w:ilvl w:val="0"/>
          <w:numId w:val="6"/>
        </w:numPr>
        <w:tabs>
          <w:tab w:val="left" w:leader="none" w:pos="1234"/>
        </w:tabs>
        <w:spacing w:before="123" w:line="230" w:lineRule="auto"/>
        <w:ind w:left="515" w:right="104"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A </w:t>
      </w:r>
      <w:r w:rsidDel="00000000" w:rsidR="00000000" w:rsidRPr="00000000">
        <w:rPr>
          <w:rFonts w:ascii="Cambria" w:cs="Cambria" w:eastAsia="Cambria" w:hAnsi="Cambria"/>
          <w:sz w:val="13"/>
          <w:szCs w:val="13"/>
          <w:rtl w:val="0"/>
        </w:rPr>
        <w:t xml:space="preserve">FURTHER </w:t>
      </w:r>
      <w:r w:rsidDel="00000000" w:rsidR="00000000" w:rsidRPr="00000000">
        <w:rPr>
          <w:rFonts w:ascii="Cambria" w:cs="Cambria" w:eastAsia="Cambria" w:hAnsi="Cambria"/>
          <w:sz w:val="19"/>
          <w:szCs w:val="19"/>
          <w:rtl w:val="0"/>
        </w:rPr>
        <w:t xml:space="preserve">No later than 29 December 2029, and every two years thereafter, Member States shall submit to the Commission a report on the application of this Directive. That report shall contain comprehensive information on the measures taken to achieve the objectives set out in Article 5(1), information provided in accordance with Article 7 and, where applicable, representative information on the individual quantitative objectives set by listed companies and SMEs in accordance with Article 5(2).</w:t>
      </w:r>
    </w:p>
    <w:p w:rsidR="00000000" w:rsidDel="00000000" w:rsidP="00000000" w:rsidRDefault="00000000" w:rsidRPr="00000000" w14:paraId="0000016D">
      <w:pPr>
        <w:widowControl w:val="0"/>
        <w:numPr>
          <w:ilvl w:val="0"/>
          <w:numId w:val="6"/>
        </w:numPr>
        <w:tabs>
          <w:tab w:val="left" w:leader="none" w:pos="1234"/>
        </w:tabs>
        <w:spacing w:before="118" w:line="230" w:lineRule="auto"/>
        <w:ind w:left="515" w:right="104"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Member States that have suspended the application of Article 6 and, where applicable, Article 5(2) in accordance with Article 12, shall include in the reports referred to in paragraph 1 of this Article information demonstrating whether and how the conditions set out in Article 12 are met and whether they continue to move towards a more balanced representation of women and men in non-executive director positions or in all director positions of listed companies.</w:t>
      </w:r>
    </w:p>
    <w:p w:rsidR="00000000" w:rsidDel="00000000" w:rsidP="00000000" w:rsidRDefault="00000000" w:rsidRPr="00000000" w14:paraId="0000016E">
      <w:pPr>
        <w:widowControl w:val="0"/>
        <w:numPr>
          <w:ilvl w:val="0"/>
          <w:numId w:val="6"/>
        </w:numPr>
        <w:tabs>
          <w:tab w:val="left" w:leader="none" w:pos="1234"/>
        </w:tabs>
        <w:spacing w:before="119" w:line="230" w:lineRule="auto"/>
        <w:ind w:left="515" w:right="108" w:firstLine="0"/>
        <w:jc w:val="both"/>
        <w:rPr>
          <w:rFonts w:ascii="Cambria" w:cs="Cambria" w:eastAsia="Cambria" w:hAnsi="Cambria"/>
          <w:sz w:val="19"/>
          <w:szCs w:val="19"/>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3"/>
          <w:szCs w:val="13"/>
          <w:rtl w:val="0"/>
        </w:rPr>
        <w:t xml:space="preserve">A </w:t>
      </w:r>
      <w:r w:rsidDel="00000000" w:rsidR="00000000" w:rsidRPr="00000000">
        <w:rPr>
          <w:rFonts w:ascii="Cambria" w:cs="Cambria" w:eastAsia="Cambria" w:hAnsi="Cambria"/>
          <w:sz w:val="19"/>
          <w:szCs w:val="19"/>
          <w:rtl w:val="0"/>
        </w:rPr>
        <w:t xml:space="preserve">No later than 29 December 2029, and every two years thereafter, the Commission shall draw up a specific report determining, inter alia, whether and how the conditions set out in Article 12(1) are met and, where appropriate, whether Member States have resumed the application of Article 6 and Article 5(2) in accordance with Article 12(3).</w:t>
      </w:r>
    </w:p>
    <w:p w:rsidR="00000000" w:rsidDel="00000000" w:rsidP="00000000" w:rsidRDefault="00000000" w:rsidRPr="00000000" w14:paraId="0000016F">
      <w:pPr>
        <w:widowControl w:val="0"/>
        <w:spacing w:before="141"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70">
      <w:pPr>
        <w:widowControl w:val="0"/>
        <w:numPr>
          <w:ilvl w:val="0"/>
          <w:numId w:val="6"/>
        </w:numPr>
        <w:tabs>
          <w:tab w:val="left" w:leader="none" w:pos="1234"/>
        </w:tabs>
        <w:spacing w:line="230" w:lineRule="auto"/>
        <w:ind w:left="515" w:right="111"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A </w:t>
      </w:r>
      <w:r w:rsidDel="00000000" w:rsidR="00000000" w:rsidRPr="00000000">
        <w:rPr>
          <w:rFonts w:ascii="Cambria" w:cs="Cambria" w:eastAsia="Cambria" w:hAnsi="Cambria"/>
          <w:sz w:val="13"/>
          <w:szCs w:val="13"/>
          <w:rtl w:val="0"/>
        </w:rPr>
        <w:t xml:space="preserve">FURTHER </w:t>
      </w:r>
      <w:r w:rsidDel="00000000" w:rsidR="00000000" w:rsidRPr="00000000">
        <w:rPr>
          <w:rFonts w:ascii="Cambria" w:cs="Cambria" w:eastAsia="Cambria" w:hAnsi="Cambria"/>
          <w:sz w:val="19"/>
          <w:szCs w:val="19"/>
          <w:rtl w:val="0"/>
        </w:rPr>
        <w:t xml:space="preserve">By 31 December 2030, and every two years thereafter, the Commission shall review the application of this Directive and report to the European Parliament and the Council. The Commission will in particular assess whether the objectives of this Directive have been achieved.</w:t>
      </w:r>
    </w:p>
    <w:p w:rsidR="00000000" w:rsidDel="00000000" w:rsidP="00000000" w:rsidRDefault="00000000" w:rsidRPr="00000000" w14:paraId="00000171">
      <w:pPr>
        <w:widowControl w:val="0"/>
        <w:numPr>
          <w:ilvl w:val="0"/>
          <w:numId w:val="6"/>
        </w:numPr>
        <w:tabs>
          <w:tab w:val="left" w:leader="none" w:pos="1234"/>
        </w:tabs>
        <w:spacing w:before="121" w:line="230" w:lineRule="auto"/>
        <w:ind w:left="515" w:right="102" w:firstLine="0"/>
        <w:jc w:val="both"/>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In its report referred to in paragraph 3 of this Article, the Commission will assess whether, in the light of the evolution of the representation of women and men on boards of directors at different levels of decision-making throughout the economy, and taking into account whether the progress made is sufficiently sustainable, this Directive is an efficient and effective instrument to increase the gender balance on boards of directors. On the basis of that assessment, the Commission will consider whether it is necessary to extend the duration of this Directive beyond 31 December 2038, or whether it is necessary to amend it, for example by extending its scope of application to unlisted companies that do not fall within the definition of SMEs, or by reviewing the conditions set out in Article 12(1), first subparagraph, point (a), in order to ensure continued progress towards a more balanced representation between women and men in executive director and non-executive director positions. executive or in all director positions of listed companies.</w:t>
      </w:r>
    </w:p>
    <w:p w:rsidR="00000000" w:rsidDel="00000000" w:rsidP="00000000" w:rsidRDefault="00000000" w:rsidRPr="00000000" w14:paraId="00000172">
      <w:pPr>
        <w:widowControl w:val="0"/>
        <w:spacing w:before="37" w:line="240" w:lineRule="auto"/>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73">
      <w:pPr>
        <w:widowControl w:val="0"/>
        <w:spacing w:line="240" w:lineRule="auto"/>
        <w:ind w:left="725" w:right="243" w:firstLine="0"/>
        <w:jc w:val="center"/>
        <w:rPr>
          <w:rFonts w:ascii="Cambria" w:cs="Cambria" w:eastAsia="Cambria" w:hAnsi="Cambria"/>
          <w:i w:val="1"/>
          <w:sz w:val="19"/>
          <w:szCs w:val="19"/>
        </w:rPr>
      </w:pPr>
      <w:r w:rsidDel="00000000" w:rsidR="00000000" w:rsidRPr="00000000">
        <w:rPr>
          <w:rFonts w:ascii="Cambria" w:cs="Cambria" w:eastAsia="Cambria" w:hAnsi="Cambria"/>
          <w:i w:val="1"/>
          <w:sz w:val="19"/>
          <w:szCs w:val="19"/>
          <w:rtl w:val="0"/>
        </w:rPr>
        <w:t xml:space="preserve">Article 15</w:t>
      </w:r>
    </w:p>
    <w:p w:rsidR="00000000" w:rsidDel="00000000" w:rsidP="00000000" w:rsidRDefault="00000000" w:rsidRPr="00000000" w14:paraId="00000174">
      <w:pPr>
        <w:pStyle w:val="Heading2"/>
        <w:keepNext w:val="0"/>
        <w:keepLines w:val="0"/>
        <w:widowControl w:val="0"/>
        <w:spacing w:after="0" w:before="129" w:line="240" w:lineRule="auto"/>
        <w:ind w:left="3905" w:firstLine="0"/>
        <w:rPr>
          <w:rFonts w:ascii="Cambria" w:cs="Cambria" w:eastAsia="Cambria" w:hAnsi="Cambria"/>
          <w:b w:val="1"/>
          <w:sz w:val="19"/>
          <w:szCs w:val="19"/>
        </w:rPr>
      </w:pPr>
      <w:r w:rsidDel="00000000" w:rsidR="00000000" w:rsidRPr="00000000">
        <w:rPr>
          <w:rFonts w:ascii="Cambria" w:cs="Cambria" w:eastAsia="Cambria" w:hAnsi="Cambria"/>
          <w:b w:val="1"/>
          <w:sz w:val="19"/>
          <w:szCs w:val="19"/>
          <w:rtl w:val="0"/>
        </w:rPr>
        <w:t xml:space="preserve">Entry into force and expiration</w:t>
      </w:r>
    </w:p>
    <w:p w:rsidR="00000000" w:rsidDel="00000000" w:rsidP="00000000" w:rsidRDefault="00000000" w:rsidRPr="00000000" w14:paraId="00000175">
      <w:pPr>
        <w:widowControl w:val="0"/>
        <w:spacing w:before="115" w:line="364" w:lineRule="auto"/>
        <w:ind w:left="515" w:right="350" w:firstLine="0"/>
        <w:rPr>
          <w:rFonts w:ascii="Cambria" w:cs="Cambria" w:eastAsia="Cambria" w:hAnsi="Cambria"/>
          <w:sz w:val="19"/>
          <w:szCs w:val="19"/>
        </w:rPr>
        <w:sectPr>
          <w:type w:val="nextPage"/>
          <w:pgSz w:h="16834" w:w="11909" w:orient="portrait"/>
          <w:pgMar w:bottom="280" w:top="1280" w:left="850" w:right="1275" w:header="957" w:footer="0"/>
        </w:sectPr>
      </w:pPr>
      <w:r w:rsidDel="00000000" w:rsidR="00000000" w:rsidRPr="00000000">
        <w:rPr>
          <w:rFonts w:ascii="Cambria" w:cs="Cambria" w:eastAsia="Cambria" w:hAnsi="Cambria"/>
          <w:sz w:val="19"/>
          <w:szCs w:val="19"/>
          <w:rtl w:val="0"/>
        </w:rPr>
        <w:t xml:space="preserve">This Directive will enter into force twenty days after its publication in the </w:t>
      </w:r>
      <w:r w:rsidDel="00000000" w:rsidR="00000000" w:rsidRPr="00000000">
        <w:rPr>
          <w:rFonts w:ascii="Cambria" w:cs="Cambria" w:eastAsia="Cambria" w:hAnsi="Cambria"/>
          <w:i w:val="1"/>
          <w:sz w:val="19"/>
          <w:szCs w:val="19"/>
          <w:rtl w:val="0"/>
        </w:rPr>
        <w:t xml:space="preserve">Official Journal of the European Union</w:t>
      </w:r>
      <w:r w:rsidDel="00000000" w:rsidR="00000000" w:rsidRPr="00000000">
        <w:rPr>
          <w:rFonts w:ascii="Cambria" w:cs="Cambria" w:eastAsia="Cambria" w:hAnsi="Cambria"/>
          <w:sz w:val="19"/>
          <w:szCs w:val="19"/>
          <w:rtl w:val="0"/>
        </w:rPr>
        <w:t xml:space="preserve">. It will expire on December 31, 2038.</w:t>
      </w:r>
    </w:p>
    <w:p w:rsidR="00000000" w:rsidDel="00000000" w:rsidP="00000000" w:rsidRDefault="00000000" w:rsidRPr="00000000" w14:paraId="00000176">
      <w:pPr>
        <w:widowControl w:val="0"/>
        <w:spacing w:line="240" w:lineRule="auto"/>
        <w:rPr>
          <w:rFonts w:ascii="Cambria" w:cs="Cambria" w:eastAsia="Cambria" w:hAnsi="Cambria"/>
          <w:sz w:val="17"/>
          <w:szCs w:val="17"/>
        </w:rPr>
      </w:pPr>
      <w:r w:rsidDel="00000000" w:rsidR="00000000" w:rsidRPr="00000000">
        <w:rPr>
          <w:rFonts w:ascii="Cambria" w:cs="Cambria" w:eastAsia="Cambria" w:hAnsi="Cambria"/>
          <w:sz w:val="17"/>
          <w:szCs w:val="17"/>
        </w:rPr>
        <mc:AlternateContent>
          <mc:Choice Requires="wpg">
            <w:drawing>
              <wp:anchor allowOverlap="1" behindDoc="1" distB="0" distT="0" distL="0" distR="0" hidden="0" layoutInCell="1" locked="0" relativeHeight="0" simplePos="0">
                <wp:simplePos x="0" y="0"/>
                <wp:positionH relativeFrom="page">
                  <wp:posOffset>522557</wp:posOffset>
                </wp:positionH>
                <wp:positionV relativeFrom="page">
                  <wp:posOffset>614102</wp:posOffset>
                </wp:positionV>
                <wp:extent cx="6517640" cy="208915"/>
                <wp:effectExtent b="0" l="0" r="0" t="0"/>
                <wp:wrapNone/>
                <wp:docPr id="2" name=""/>
                <a:graphic>
                  <a:graphicData uri="http://schemas.microsoft.com/office/word/2010/wordprocessingGroup">
                    <wpg:wgp>
                      <wpg:cNvGrpSpPr/>
                      <wpg:grpSpPr>
                        <a:xfrm>
                          <a:off x="2087175" y="3675525"/>
                          <a:ext cx="6517640" cy="208915"/>
                          <a:chOff x="2087175" y="3675525"/>
                          <a:chExt cx="6517650" cy="208925"/>
                        </a:xfrm>
                      </wpg:grpSpPr>
                      <wpg:grpSp>
                        <wpg:cNvGrpSpPr/>
                        <wpg:grpSpPr>
                          <a:xfrm>
                            <a:off x="2087180" y="3675543"/>
                            <a:ext cx="6517625" cy="208900"/>
                            <a:chOff x="0" y="0"/>
                            <a:chExt cx="6517625" cy="208900"/>
                          </a:xfrm>
                        </wpg:grpSpPr>
                        <wps:wsp>
                          <wps:cNvSpPr/>
                          <wps:cNvPr id="4" name="Shape 4"/>
                          <wps:spPr>
                            <a:xfrm>
                              <a:off x="0" y="0"/>
                              <a:ext cx="6517625" cy="20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17440" y="204055"/>
                              <a:ext cx="6477000" cy="1270"/>
                            </a:xfrm>
                            <a:custGeom>
                              <a:rect b="b" l="l" r="r" t="t"/>
                              <a:pathLst>
                                <a:path extrusionOk="0" h="120000" w="6477000">
                                  <a:moveTo>
                                    <a:pt x="0" y="0"/>
                                  </a:moveTo>
                                  <a:lnTo>
                                    <a:pt x="6476999"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pic:pic>
                          <pic:nvPicPr>
                            <pic:cNvPr id="6" name="Shape 6"/>
                            <pic:cNvPicPr preferRelativeResize="0"/>
                          </pic:nvPicPr>
                          <pic:blipFill rotWithShape="1">
                            <a:blip r:embed="rId8">
                              <a:alphaModFix/>
                            </a:blip>
                            <a:srcRect b="0" l="0" r="0" t="0"/>
                            <a:stretch/>
                          </pic:blipFill>
                          <pic:spPr>
                            <a:xfrm>
                              <a:off x="0" y="0"/>
                              <a:ext cx="542925" cy="180975"/>
                            </a:xfrm>
                            <a:prstGeom prst="rect">
                              <a:avLst/>
                            </a:prstGeom>
                            <a:noFill/>
                            <a:ln>
                              <a:noFill/>
                            </a:ln>
                          </pic:spPr>
                        </pic:pic>
                        <pic:pic>
                          <pic:nvPicPr>
                            <pic:cNvPr id="7" name="Shape 7"/>
                            <pic:cNvPicPr preferRelativeResize="0"/>
                          </pic:nvPicPr>
                          <pic:blipFill rotWithShape="1">
                            <a:blip r:embed="rId9">
                              <a:alphaModFix/>
                            </a:blip>
                            <a:srcRect b="0" l="0" r="0" t="0"/>
                            <a:stretch/>
                          </pic:blipFill>
                          <pic:spPr>
                            <a:xfrm>
                              <a:off x="2390376" y="0"/>
                              <a:ext cx="1733549" cy="180975"/>
                            </a:xfrm>
                            <a:prstGeom prst="rect">
                              <a:avLst/>
                            </a:prstGeom>
                            <a:noFill/>
                            <a:ln>
                              <a:noFill/>
                            </a:ln>
                          </pic:spPr>
                        </pic:pic>
                        <pic:pic>
                          <pic:nvPicPr>
                            <pic:cNvPr id="8" name="Shape 8"/>
                            <pic:cNvPicPr preferRelativeResize="0"/>
                          </pic:nvPicPr>
                          <pic:blipFill rotWithShape="1">
                            <a:blip r:embed="rId12">
                              <a:alphaModFix/>
                            </a:blip>
                            <a:srcRect b="0" l="0" r="0" t="0"/>
                            <a:stretch/>
                          </pic:blipFill>
                          <pic:spPr>
                            <a:xfrm>
                              <a:off x="6022022" y="0"/>
                              <a:ext cx="495300" cy="180975"/>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522557</wp:posOffset>
                </wp:positionH>
                <wp:positionV relativeFrom="page">
                  <wp:posOffset>614102</wp:posOffset>
                </wp:positionV>
                <wp:extent cx="6517640" cy="208915"/>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517640" cy="20891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177">
      <w:pPr>
        <w:widowControl w:val="0"/>
        <w:spacing w:before="131" w:line="240" w:lineRule="auto"/>
        <w:rPr>
          <w:rFonts w:ascii="Cambria" w:cs="Cambria" w:eastAsia="Cambria" w:hAnsi="Cambria"/>
          <w:sz w:val="17"/>
          <w:szCs w:val="17"/>
        </w:rPr>
      </w:pPr>
      <w:r w:rsidDel="00000000" w:rsidR="00000000" w:rsidRPr="00000000">
        <w:rPr>
          <w:rtl w:val="0"/>
        </w:rPr>
      </w:r>
    </w:p>
    <w:p w:rsidR="00000000" w:rsidDel="00000000" w:rsidP="00000000" w:rsidRDefault="00000000" w:rsidRPr="00000000" w14:paraId="00000178">
      <w:pPr>
        <w:widowControl w:val="0"/>
        <w:spacing w:line="240" w:lineRule="auto"/>
        <w:ind w:left="655" w:right="245" w:firstLine="0"/>
        <w:jc w:val="center"/>
        <w:rPr>
          <w:rFonts w:ascii="Cambria" w:cs="Cambria" w:eastAsia="Cambria" w:hAnsi="Cambria"/>
          <w:i w:val="1"/>
          <w:sz w:val="17"/>
          <w:szCs w:val="17"/>
        </w:rPr>
      </w:pPr>
      <w:r w:rsidDel="00000000" w:rsidR="00000000" w:rsidRPr="00000000">
        <w:rPr>
          <w:rFonts w:ascii="Cambria" w:cs="Cambria" w:eastAsia="Cambria" w:hAnsi="Cambria"/>
          <w:i w:val="1"/>
          <w:sz w:val="17"/>
          <w:szCs w:val="17"/>
          <w:rtl w:val="0"/>
        </w:rPr>
        <w:t xml:space="preserve">ANNEX</w:t>
      </w:r>
    </w:p>
    <w:p w:rsidR="00000000" w:rsidDel="00000000" w:rsidP="00000000" w:rsidRDefault="00000000" w:rsidRPr="00000000" w14:paraId="00000179">
      <w:pPr>
        <w:widowControl w:val="0"/>
        <w:spacing w:before="71" w:line="240" w:lineRule="auto"/>
        <w:rPr>
          <w:rFonts w:ascii="Cambria" w:cs="Cambria" w:eastAsia="Cambria" w:hAnsi="Cambria"/>
          <w:i w:val="1"/>
          <w:sz w:val="17"/>
          <w:szCs w:val="17"/>
        </w:rPr>
      </w:pPr>
      <w:r w:rsidDel="00000000" w:rsidR="00000000" w:rsidRPr="00000000">
        <w:rPr>
          <w:rtl w:val="0"/>
        </w:rPr>
      </w:r>
    </w:p>
    <w:p w:rsidR="00000000" w:rsidDel="00000000" w:rsidP="00000000" w:rsidRDefault="00000000" w:rsidRPr="00000000" w14:paraId="0000017A">
      <w:pPr>
        <w:widowControl w:val="0"/>
        <w:spacing w:line="240" w:lineRule="auto"/>
        <w:ind w:left="655" w:right="245" w:firstLine="0"/>
        <w:jc w:val="center"/>
        <w:rPr>
          <w:rFonts w:ascii="Cambria" w:cs="Cambria" w:eastAsia="Cambria" w:hAnsi="Cambria"/>
          <w:sz w:val="17"/>
          <w:szCs w:val="17"/>
        </w:rPr>
      </w:pPr>
      <w:r w:rsidDel="00000000" w:rsidR="00000000" w:rsidRPr="00000000">
        <w:rPr>
          <w:rFonts w:ascii="Cambria" w:cs="Cambria" w:eastAsia="Cambria" w:hAnsi="Cambria"/>
          <w:sz w:val="17"/>
          <w:szCs w:val="17"/>
          <w:rtl w:val="0"/>
        </w:rPr>
        <w:t xml:space="preserve">NUMERICAL OBJECTIVES </w:t>
      </w:r>
      <w:r w:rsidDel="00000000" w:rsidR="00000000" w:rsidRPr="00000000">
        <w:rPr>
          <w:rFonts w:ascii="Cambria" w:cs="Cambria" w:eastAsia="Cambria" w:hAnsi="Cambria"/>
          <w:sz w:val="12"/>
          <w:szCs w:val="12"/>
          <w:rtl w:val="0"/>
        </w:rPr>
        <w:t xml:space="preserve">A</w:t>
      </w:r>
      <w:r w:rsidDel="00000000" w:rsidR="00000000" w:rsidRPr="00000000">
        <w:rPr>
          <w:rFonts w:ascii="Cambria" w:cs="Cambria" w:eastAsia="Cambria" w:hAnsi="Cambria"/>
          <w:sz w:val="17"/>
          <w:szCs w:val="17"/>
          <w:rtl w:val="0"/>
        </w:rPr>
        <w:t xml:space="preserve">ADMINISTRATOR</w:t>
      </w:r>
      <w:r w:rsidDel="00000000" w:rsidR="00000000" w:rsidRPr="00000000">
        <w:rPr>
          <w:rFonts w:ascii="Cambria" w:cs="Cambria" w:eastAsia="Cambria" w:hAnsi="Cambria"/>
          <w:sz w:val="12"/>
          <w:szCs w:val="12"/>
          <w:rtl w:val="0"/>
        </w:rPr>
        <w:t xml:space="preserve">A</w:t>
      </w:r>
      <w:r w:rsidDel="00000000" w:rsidR="00000000" w:rsidRPr="00000000">
        <w:rPr>
          <w:rFonts w:ascii="Cambria" w:cs="Cambria" w:eastAsia="Cambria" w:hAnsi="Cambria"/>
          <w:sz w:val="17"/>
          <w:szCs w:val="17"/>
          <w:rtl w:val="0"/>
        </w:rPr>
        <w:t xml:space="preserve">LESS REPRESENTATIVE SEX PAINS</w:t>
      </w:r>
      <w:r w:rsidDel="00000000" w:rsidR="00000000" w:rsidRPr="00000000">
        <w:rPr>
          <w:rFonts w:ascii="Cambria" w:cs="Cambria" w:eastAsia="Cambria" w:hAnsi="Cambria"/>
          <w:sz w:val="12"/>
          <w:szCs w:val="12"/>
          <w:rtl w:val="0"/>
        </w:rPr>
        <w:t xml:space="preserve">A</w:t>
      </w:r>
      <w:r w:rsidDel="00000000" w:rsidR="00000000" w:rsidRPr="00000000">
        <w:rPr>
          <w:rFonts w:ascii="Cambria" w:cs="Cambria" w:eastAsia="Cambria" w:hAnsi="Cambria"/>
          <w:sz w:val="17"/>
          <w:szCs w:val="17"/>
          <w:rtl w:val="0"/>
        </w:rPr>
        <w:t xml:space="preserve">DO</w:t>
      </w:r>
    </w:p>
    <w:p w:rsidR="00000000" w:rsidDel="00000000" w:rsidP="00000000" w:rsidRDefault="00000000" w:rsidRPr="00000000" w14:paraId="0000017B">
      <w:pPr>
        <w:widowControl w:val="0"/>
        <w:spacing w:before="160" w:line="240" w:lineRule="auto"/>
        <w:rPr>
          <w:rFonts w:ascii="Cambria" w:cs="Cambria" w:eastAsia="Cambria" w:hAnsi="Cambria"/>
          <w:sz w:val="20"/>
          <w:szCs w:val="20"/>
        </w:rPr>
      </w:pPr>
      <w:r w:rsidDel="00000000" w:rsidR="00000000" w:rsidRPr="00000000">
        <w:rPr>
          <w:rtl w:val="0"/>
        </w:rPr>
      </w:r>
    </w:p>
    <w:tbl>
      <w:tblPr>
        <w:tblStyle w:val="Table1"/>
        <w:tblW w:w="9180.0" w:type="dxa"/>
        <w:jc w:val="left"/>
        <w:tblInd w:w="51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490"/>
        <w:gridCol w:w="3360"/>
        <w:gridCol w:w="3330"/>
        <w:tblGridChange w:id="0">
          <w:tblGrid>
            <w:gridCol w:w="2490"/>
            <w:gridCol w:w="3360"/>
            <w:gridCol w:w="3330"/>
          </w:tblGrid>
        </w:tblGridChange>
      </w:tblGrid>
      <w:tr>
        <w:trPr>
          <w:cantSplit w:val="0"/>
          <w:trHeight w:val="899" w:hRule="atLeast"/>
          <w:tblHeader w:val="0"/>
        </w:trPr>
        <w:tc>
          <w:tcPr>
            <w:tcBorders>
              <w:left w:color="000000" w:space="0" w:sz="0" w:val="nil"/>
            </w:tcBorders>
          </w:tcPr>
          <w:p w:rsidR="00000000" w:rsidDel="00000000" w:rsidP="00000000" w:rsidRDefault="00000000" w:rsidRPr="00000000" w14:paraId="0000017C">
            <w:pPr>
              <w:widowControl w:val="0"/>
              <w:spacing w:before="69" w:line="240" w:lineRule="auto"/>
              <w:rPr>
                <w:rFonts w:ascii="Cambria" w:cs="Cambria" w:eastAsia="Cambria" w:hAnsi="Cambria"/>
                <w:sz w:val="17"/>
                <w:szCs w:val="17"/>
              </w:rPr>
            </w:pPr>
            <w:r w:rsidDel="00000000" w:rsidR="00000000" w:rsidRPr="00000000">
              <w:rPr>
                <w:rtl w:val="0"/>
              </w:rPr>
            </w:r>
          </w:p>
          <w:p w:rsidR="00000000" w:rsidDel="00000000" w:rsidP="00000000" w:rsidRDefault="00000000" w:rsidRPr="00000000" w14:paraId="0000017D">
            <w:pPr>
              <w:widowControl w:val="0"/>
              <w:spacing w:line="230" w:lineRule="auto"/>
              <w:ind w:left="695" w:hanging="690"/>
              <w:rPr>
                <w:rFonts w:ascii="Cambria" w:cs="Cambria" w:eastAsia="Cambria" w:hAnsi="Cambria"/>
                <w:sz w:val="17"/>
                <w:szCs w:val="17"/>
              </w:rPr>
            </w:pPr>
            <w:r w:rsidDel="00000000" w:rsidR="00000000" w:rsidRPr="00000000">
              <w:rPr>
                <w:rFonts w:ascii="Cambria" w:cs="Cambria" w:eastAsia="Cambria" w:hAnsi="Cambria"/>
                <w:sz w:val="17"/>
                <w:szCs w:val="17"/>
                <w:rtl w:val="0"/>
              </w:rPr>
              <w:t xml:space="preserve">Number of seats on the board of directors</w:t>
            </w:r>
          </w:p>
        </w:tc>
        <w:tc>
          <w:tcPr/>
          <w:p w:rsidR="00000000" w:rsidDel="00000000" w:rsidP="00000000" w:rsidRDefault="00000000" w:rsidRPr="00000000" w14:paraId="0000017E">
            <w:pPr>
              <w:widowControl w:val="0"/>
              <w:spacing w:before="75" w:line="230" w:lineRule="auto"/>
              <w:ind w:left="108" w:right="95" w:hanging="0.9999999999999964"/>
              <w:jc w:val="center"/>
              <w:rPr>
                <w:rFonts w:ascii="Cambria" w:cs="Cambria" w:eastAsia="Cambria" w:hAnsi="Cambria"/>
                <w:sz w:val="17"/>
                <w:szCs w:val="17"/>
              </w:rPr>
            </w:pPr>
            <w:r w:rsidDel="00000000" w:rsidR="00000000" w:rsidRPr="00000000">
              <w:rPr>
                <w:rFonts w:ascii="Cambria" w:cs="Cambria" w:eastAsia="Cambria" w:hAnsi="Cambria"/>
                <w:sz w:val="17"/>
                <w:szCs w:val="17"/>
                <w:rtl w:val="0"/>
              </w:rPr>
              <w:t xml:space="preserve">Minimum number of non-executive directors of the less represented sex required to meet the 40% target [Article 5(1)(a)]</w:t>
            </w:r>
          </w:p>
        </w:tc>
        <w:tc>
          <w:tcPr>
            <w:tcBorders>
              <w:right w:color="000000" w:space="0" w:sz="0" w:val="nil"/>
            </w:tcBorders>
          </w:tcPr>
          <w:p w:rsidR="00000000" w:rsidDel="00000000" w:rsidP="00000000" w:rsidRDefault="00000000" w:rsidRPr="00000000" w14:paraId="0000017F">
            <w:pPr>
              <w:widowControl w:val="0"/>
              <w:spacing w:before="75" w:line="230" w:lineRule="auto"/>
              <w:ind w:left="236" w:right="128" w:hanging="1.0000000000000142"/>
              <w:jc w:val="center"/>
              <w:rPr>
                <w:rFonts w:ascii="Cambria" w:cs="Cambria" w:eastAsia="Cambria" w:hAnsi="Cambria"/>
                <w:sz w:val="17"/>
                <w:szCs w:val="17"/>
              </w:rPr>
            </w:pPr>
            <w:r w:rsidDel="00000000" w:rsidR="00000000" w:rsidRPr="00000000">
              <w:rPr>
                <w:rFonts w:ascii="Cambria" w:cs="Cambria" w:eastAsia="Cambria" w:hAnsi="Cambria"/>
                <w:sz w:val="17"/>
                <w:szCs w:val="17"/>
                <w:rtl w:val="0"/>
              </w:rPr>
              <w:t xml:space="preserve">Minimum number of administrators of the less represented sex necessary to meet the 33% target [Article 5(1)(b)]</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80">
            <w:pPr>
              <w:widowControl w:val="0"/>
              <w:spacing w:before="60"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w:t>
            </w:r>
          </w:p>
        </w:tc>
        <w:tc>
          <w:tcPr/>
          <w:p w:rsidR="00000000" w:rsidDel="00000000" w:rsidP="00000000" w:rsidRDefault="00000000" w:rsidRPr="00000000" w14:paraId="00000181">
            <w:pPr>
              <w:widowControl w:val="0"/>
              <w:spacing w:before="60"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t>
            </w:r>
          </w:p>
        </w:tc>
        <w:tc>
          <w:tcPr>
            <w:tcBorders>
              <w:right w:color="000000" w:space="0" w:sz="0" w:val="nil"/>
            </w:tcBorders>
          </w:tcPr>
          <w:p w:rsidR="00000000" w:rsidDel="00000000" w:rsidP="00000000" w:rsidRDefault="00000000" w:rsidRPr="00000000" w14:paraId="00000182">
            <w:pPr>
              <w:widowControl w:val="0"/>
              <w:spacing w:before="60"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83">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w:t>
            </w:r>
          </w:p>
        </w:tc>
        <w:tc>
          <w:tcPr/>
          <w:p w:rsidR="00000000" w:rsidDel="00000000" w:rsidP="00000000" w:rsidRDefault="00000000" w:rsidRPr="00000000" w14:paraId="00000184">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t>
            </w:r>
          </w:p>
        </w:tc>
        <w:tc>
          <w:tcPr>
            <w:tcBorders>
              <w:right w:color="000000" w:space="0" w:sz="0" w:val="nil"/>
            </w:tcBorders>
          </w:tcPr>
          <w:p w:rsidR="00000000" w:rsidDel="00000000" w:rsidP="00000000" w:rsidRDefault="00000000" w:rsidRPr="00000000" w14:paraId="00000185">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w:t>
            </w:r>
          </w:p>
        </w:tc>
      </w:tr>
      <w:tr>
        <w:trPr>
          <w:cantSplit w:val="0"/>
          <w:trHeight w:val="339" w:hRule="atLeast"/>
          <w:tblHeader w:val="0"/>
        </w:trPr>
        <w:tc>
          <w:tcPr>
            <w:tcBorders>
              <w:left w:color="000000" w:space="0" w:sz="0" w:val="nil"/>
            </w:tcBorders>
          </w:tcPr>
          <w:p w:rsidR="00000000" w:rsidDel="00000000" w:rsidP="00000000" w:rsidRDefault="00000000" w:rsidRPr="00000000" w14:paraId="00000186">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3</w:t>
            </w:r>
          </w:p>
        </w:tc>
        <w:tc>
          <w:tcPr/>
          <w:p w:rsidR="00000000" w:rsidDel="00000000" w:rsidP="00000000" w:rsidRDefault="00000000" w:rsidRPr="00000000" w14:paraId="00000187">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 (33,3 %)</w:t>
            </w:r>
          </w:p>
        </w:tc>
        <w:tc>
          <w:tcPr>
            <w:tcBorders>
              <w:right w:color="000000" w:space="0" w:sz="0" w:val="nil"/>
            </w:tcBorders>
          </w:tcPr>
          <w:p w:rsidR="00000000" w:rsidDel="00000000" w:rsidP="00000000" w:rsidRDefault="00000000" w:rsidRPr="00000000" w14:paraId="00000188">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 (33,3 %)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89">
            <w:pPr>
              <w:widowControl w:val="0"/>
              <w:spacing w:before="60"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4</w:t>
            </w:r>
          </w:p>
        </w:tc>
        <w:tc>
          <w:tcPr/>
          <w:p w:rsidR="00000000" w:rsidDel="00000000" w:rsidP="00000000" w:rsidRDefault="00000000" w:rsidRPr="00000000" w14:paraId="0000018A">
            <w:pPr>
              <w:widowControl w:val="0"/>
              <w:spacing w:before="60"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 (25 %)</w:t>
            </w:r>
          </w:p>
        </w:tc>
        <w:tc>
          <w:tcPr>
            <w:tcBorders>
              <w:right w:color="000000" w:space="0" w:sz="0" w:val="nil"/>
            </w:tcBorders>
          </w:tcPr>
          <w:p w:rsidR="00000000" w:rsidDel="00000000" w:rsidP="00000000" w:rsidRDefault="00000000" w:rsidRPr="00000000" w14:paraId="0000018B">
            <w:pPr>
              <w:widowControl w:val="0"/>
              <w:spacing w:before="60"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 (25 %)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8C">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5</w:t>
            </w:r>
          </w:p>
        </w:tc>
        <w:tc>
          <w:tcPr/>
          <w:p w:rsidR="00000000" w:rsidDel="00000000" w:rsidP="00000000" w:rsidRDefault="00000000" w:rsidRPr="00000000" w14:paraId="0000018D">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 (40 %)</w:t>
            </w:r>
          </w:p>
        </w:tc>
        <w:tc>
          <w:tcPr>
            <w:tcBorders>
              <w:right w:color="000000" w:space="0" w:sz="0" w:val="nil"/>
            </w:tcBorders>
          </w:tcPr>
          <w:p w:rsidR="00000000" w:rsidDel="00000000" w:rsidP="00000000" w:rsidRDefault="00000000" w:rsidRPr="00000000" w14:paraId="0000018E">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 (40 %)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8F">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6</w:t>
            </w:r>
          </w:p>
        </w:tc>
        <w:tc>
          <w:tcPr/>
          <w:p w:rsidR="00000000" w:rsidDel="00000000" w:rsidP="00000000" w:rsidRDefault="00000000" w:rsidRPr="00000000" w14:paraId="00000190">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 (33,3 %)</w:t>
            </w:r>
          </w:p>
        </w:tc>
        <w:tc>
          <w:tcPr>
            <w:tcBorders>
              <w:right w:color="000000" w:space="0" w:sz="0" w:val="nil"/>
            </w:tcBorders>
          </w:tcPr>
          <w:p w:rsidR="00000000" w:rsidDel="00000000" w:rsidP="00000000" w:rsidRDefault="00000000" w:rsidRPr="00000000" w14:paraId="00000191">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 (33,3 %)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92">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7</w:t>
            </w:r>
          </w:p>
        </w:tc>
        <w:tc>
          <w:tcPr/>
          <w:p w:rsidR="00000000" w:rsidDel="00000000" w:rsidP="00000000" w:rsidRDefault="00000000" w:rsidRPr="00000000" w14:paraId="00000193">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3 (42,9 %)</w:t>
            </w:r>
          </w:p>
        </w:tc>
        <w:tc>
          <w:tcPr>
            <w:tcBorders>
              <w:right w:color="000000" w:space="0" w:sz="0" w:val="nil"/>
            </w:tcBorders>
          </w:tcPr>
          <w:p w:rsidR="00000000" w:rsidDel="00000000" w:rsidP="00000000" w:rsidRDefault="00000000" w:rsidRPr="00000000" w14:paraId="00000194">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 (28,6 %)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95">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8</w:t>
            </w:r>
          </w:p>
        </w:tc>
        <w:tc>
          <w:tcPr/>
          <w:p w:rsidR="00000000" w:rsidDel="00000000" w:rsidP="00000000" w:rsidRDefault="00000000" w:rsidRPr="00000000" w14:paraId="00000196">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3 (37,5 %)</w:t>
            </w:r>
          </w:p>
        </w:tc>
        <w:tc>
          <w:tcPr>
            <w:tcBorders>
              <w:right w:color="000000" w:space="0" w:sz="0" w:val="nil"/>
            </w:tcBorders>
          </w:tcPr>
          <w:p w:rsidR="00000000" w:rsidDel="00000000" w:rsidP="00000000" w:rsidRDefault="00000000" w:rsidRPr="00000000" w14:paraId="00000197">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3 (37,5 %)</w:t>
            </w:r>
          </w:p>
        </w:tc>
      </w:tr>
      <w:tr>
        <w:trPr>
          <w:cantSplit w:val="0"/>
          <w:trHeight w:val="339" w:hRule="atLeast"/>
          <w:tblHeader w:val="0"/>
        </w:trPr>
        <w:tc>
          <w:tcPr>
            <w:tcBorders>
              <w:left w:color="000000" w:space="0" w:sz="0" w:val="nil"/>
            </w:tcBorders>
          </w:tcPr>
          <w:p w:rsidR="00000000" w:rsidDel="00000000" w:rsidP="00000000" w:rsidRDefault="00000000" w:rsidRPr="00000000" w14:paraId="00000198">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9</w:t>
            </w:r>
          </w:p>
        </w:tc>
        <w:tc>
          <w:tcPr/>
          <w:p w:rsidR="00000000" w:rsidDel="00000000" w:rsidP="00000000" w:rsidRDefault="00000000" w:rsidRPr="00000000" w14:paraId="00000199">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4 (44,4 %)</w:t>
            </w:r>
          </w:p>
        </w:tc>
        <w:tc>
          <w:tcPr>
            <w:tcBorders>
              <w:right w:color="000000" w:space="0" w:sz="0" w:val="nil"/>
            </w:tcBorders>
          </w:tcPr>
          <w:p w:rsidR="00000000" w:rsidDel="00000000" w:rsidP="00000000" w:rsidRDefault="00000000" w:rsidRPr="00000000" w14:paraId="0000019A">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3 (33,3 %)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9B">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10</w:t>
            </w:r>
          </w:p>
        </w:tc>
        <w:tc>
          <w:tcPr/>
          <w:p w:rsidR="00000000" w:rsidDel="00000000" w:rsidP="00000000" w:rsidRDefault="00000000" w:rsidRPr="00000000" w14:paraId="0000019C">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4 (40 %)</w:t>
            </w:r>
          </w:p>
        </w:tc>
        <w:tc>
          <w:tcPr>
            <w:tcBorders>
              <w:right w:color="000000" w:space="0" w:sz="0" w:val="nil"/>
            </w:tcBorders>
          </w:tcPr>
          <w:p w:rsidR="00000000" w:rsidDel="00000000" w:rsidP="00000000" w:rsidRDefault="00000000" w:rsidRPr="00000000" w14:paraId="0000019D">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3 (30 %)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9E">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11</w:t>
            </w:r>
          </w:p>
        </w:tc>
        <w:tc>
          <w:tcPr/>
          <w:p w:rsidR="00000000" w:rsidDel="00000000" w:rsidP="00000000" w:rsidRDefault="00000000" w:rsidRPr="00000000" w14:paraId="0000019F">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4 (36,4 %)</w:t>
            </w:r>
          </w:p>
        </w:tc>
        <w:tc>
          <w:tcPr>
            <w:tcBorders>
              <w:right w:color="000000" w:space="0" w:sz="0" w:val="nil"/>
            </w:tcBorders>
          </w:tcPr>
          <w:p w:rsidR="00000000" w:rsidDel="00000000" w:rsidP="00000000" w:rsidRDefault="00000000" w:rsidRPr="00000000" w14:paraId="000001A0">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4 (36,4 %)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A1">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12</w:t>
            </w:r>
          </w:p>
        </w:tc>
        <w:tc>
          <w:tcPr/>
          <w:p w:rsidR="00000000" w:rsidDel="00000000" w:rsidP="00000000" w:rsidRDefault="00000000" w:rsidRPr="00000000" w14:paraId="000001A2">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5 (41,7 %)</w:t>
            </w:r>
          </w:p>
        </w:tc>
        <w:tc>
          <w:tcPr>
            <w:tcBorders>
              <w:right w:color="000000" w:space="0" w:sz="0" w:val="nil"/>
            </w:tcBorders>
          </w:tcPr>
          <w:p w:rsidR="00000000" w:rsidDel="00000000" w:rsidP="00000000" w:rsidRDefault="00000000" w:rsidRPr="00000000" w14:paraId="000001A3">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4 (33,3 %)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A4">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13</w:t>
            </w:r>
          </w:p>
        </w:tc>
        <w:tc>
          <w:tcPr/>
          <w:p w:rsidR="00000000" w:rsidDel="00000000" w:rsidP="00000000" w:rsidRDefault="00000000" w:rsidRPr="00000000" w14:paraId="000001A5">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5 (38,4 %)</w:t>
            </w:r>
          </w:p>
        </w:tc>
        <w:tc>
          <w:tcPr>
            <w:tcBorders>
              <w:right w:color="000000" w:space="0" w:sz="0" w:val="nil"/>
            </w:tcBorders>
          </w:tcPr>
          <w:p w:rsidR="00000000" w:rsidDel="00000000" w:rsidP="00000000" w:rsidRDefault="00000000" w:rsidRPr="00000000" w14:paraId="000001A6">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4 (30,8 %)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A7">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14</w:t>
            </w:r>
          </w:p>
        </w:tc>
        <w:tc>
          <w:tcPr/>
          <w:p w:rsidR="00000000" w:rsidDel="00000000" w:rsidP="00000000" w:rsidRDefault="00000000" w:rsidRPr="00000000" w14:paraId="000001A8">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6 (42,9 %)</w:t>
            </w:r>
          </w:p>
        </w:tc>
        <w:tc>
          <w:tcPr>
            <w:tcBorders>
              <w:right w:color="000000" w:space="0" w:sz="0" w:val="nil"/>
            </w:tcBorders>
          </w:tcPr>
          <w:p w:rsidR="00000000" w:rsidDel="00000000" w:rsidP="00000000" w:rsidRDefault="00000000" w:rsidRPr="00000000" w14:paraId="000001A9">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5 (35,7 %)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AA">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15</w:t>
            </w:r>
          </w:p>
        </w:tc>
        <w:tc>
          <w:tcPr/>
          <w:p w:rsidR="00000000" w:rsidDel="00000000" w:rsidP="00000000" w:rsidRDefault="00000000" w:rsidRPr="00000000" w14:paraId="000001AB">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6 (40 %)</w:t>
            </w:r>
          </w:p>
        </w:tc>
        <w:tc>
          <w:tcPr>
            <w:tcBorders>
              <w:right w:color="000000" w:space="0" w:sz="0" w:val="nil"/>
            </w:tcBorders>
          </w:tcPr>
          <w:p w:rsidR="00000000" w:rsidDel="00000000" w:rsidP="00000000" w:rsidRDefault="00000000" w:rsidRPr="00000000" w14:paraId="000001AC">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5 (33,3 %)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AD">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16</w:t>
            </w:r>
          </w:p>
        </w:tc>
        <w:tc>
          <w:tcPr/>
          <w:p w:rsidR="00000000" w:rsidDel="00000000" w:rsidP="00000000" w:rsidRDefault="00000000" w:rsidRPr="00000000" w14:paraId="000001AE">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6 (37,5 %)</w:t>
            </w:r>
          </w:p>
        </w:tc>
        <w:tc>
          <w:tcPr>
            <w:tcBorders>
              <w:right w:color="000000" w:space="0" w:sz="0" w:val="nil"/>
            </w:tcBorders>
          </w:tcPr>
          <w:p w:rsidR="00000000" w:rsidDel="00000000" w:rsidP="00000000" w:rsidRDefault="00000000" w:rsidRPr="00000000" w14:paraId="000001AF">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5 (31,3 %)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B0">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17</w:t>
            </w:r>
          </w:p>
        </w:tc>
        <w:tc>
          <w:tcPr/>
          <w:p w:rsidR="00000000" w:rsidDel="00000000" w:rsidP="00000000" w:rsidRDefault="00000000" w:rsidRPr="00000000" w14:paraId="000001B1">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7 (41,2 %)</w:t>
            </w:r>
          </w:p>
        </w:tc>
        <w:tc>
          <w:tcPr>
            <w:tcBorders>
              <w:right w:color="000000" w:space="0" w:sz="0" w:val="nil"/>
            </w:tcBorders>
          </w:tcPr>
          <w:p w:rsidR="00000000" w:rsidDel="00000000" w:rsidP="00000000" w:rsidRDefault="00000000" w:rsidRPr="00000000" w14:paraId="000001B2">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6 (35,3 %)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B3">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18</w:t>
            </w:r>
          </w:p>
        </w:tc>
        <w:tc>
          <w:tcPr/>
          <w:p w:rsidR="00000000" w:rsidDel="00000000" w:rsidP="00000000" w:rsidRDefault="00000000" w:rsidRPr="00000000" w14:paraId="000001B4">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7 (38,9 %)</w:t>
            </w:r>
          </w:p>
        </w:tc>
        <w:tc>
          <w:tcPr>
            <w:tcBorders>
              <w:right w:color="000000" w:space="0" w:sz="0" w:val="nil"/>
            </w:tcBorders>
          </w:tcPr>
          <w:p w:rsidR="00000000" w:rsidDel="00000000" w:rsidP="00000000" w:rsidRDefault="00000000" w:rsidRPr="00000000" w14:paraId="000001B5">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6 (33,3 %)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B6">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19</w:t>
            </w:r>
          </w:p>
        </w:tc>
        <w:tc>
          <w:tcPr/>
          <w:p w:rsidR="00000000" w:rsidDel="00000000" w:rsidP="00000000" w:rsidRDefault="00000000" w:rsidRPr="00000000" w14:paraId="000001B7">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8 (42,1 %)</w:t>
            </w:r>
          </w:p>
        </w:tc>
        <w:tc>
          <w:tcPr>
            <w:tcBorders>
              <w:right w:color="000000" w:space="0" w:sz="0" w:val="nil"/>
            </w:tcBorders>
          </w:tcPr>
          <w:p w:rsidR="00000000" w:rsidDel="00000000" w:rsidP="00000000" w:rsidRDefault="00000000" w:rsidRPr="00000000" w14:paraId="000001B8">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6 (31,6 %)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B9">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20</w:t>
            </w:r>
          </w:p>
        </w:tc>
        <w:tc>
          <w:tcPr/>
          <w:p w:rsidR="00000000" w:rsidDel="00000000" w:rsidP="00000000" w:rsidRDefault="00000000" w:rsidRPr="00000000" w14:paraId="000001BA">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8 (40 %)</w:t>
            </w:r>
          </w:p>
        </w:tc>
        <w:tc>
          <w:tcPr>
            <w:tcBorders>
              <w:right w:color="000000" w:space="0" w:sz="0" w:val="nil"/>
            </w:tcBorders>
          </w:tcPr>
          <w:p w:rsidR="00000000" w:rsidDel="00000000" w:rsidP="00000000" w:rsidRDefault="00000000" w:rsidRPr="00000000" w14:paraId="000001BB">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7 (35 %)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BC">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21</w:t>
            </w:r>
          </w:p>
        </w:tc>
        <w:tc>
          <w:tcPr/>
          <w:p w:rsidR="00000000" w:rsidDel="00000000" w:rsidP="00000000" w:rsidRDefault="00000000" w:rsidRPr="00000000" w14:paraId="000001BD">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8 (38,1 %)</w:t>
            </w:r>
          </w:p>
        </w:tc>
        <w:tc>
          <w:tcPr>
            <w:tcBorders>
              <w:right w:color="000000" w:space="0" w:sz="0" w:val="nil"/>
            </w:tcBorders>
          </w:tcPr>
          <w:p w:rsidR="00000000" w:rsidDel="00000000" w:rsidP="00000000" w:rsidRDefault="00000000" w:rsidRPr="00000000" w14:paraId="000001BE">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7 (33,3 %)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BF">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22</w:t>
            </w:r>
          </w:p>
        </w:tc>
        <w:tc>
          <w:tcPr/>
          <w:p w:rsidR="00000000" w:rsidDel="00000000" w:rsidP="00000000" w:rsidRDefault="00000000" w:rsidRPr="00000000" w14:paraId="000001C0">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9 (40,1 %)</w:t>
            </w:r>
          </w:p>
        </w:tc>
        <w:tc>
          <w:tcPr>
            <w:tcBorders>
              <w:right w:color="000000" w:space="0" w:sz="0" w:val="nil"/>
            </w:tcBorders>
          </w:tcPr>
          <w:p w:rsidR="00000000" w:rsidDel="00000000" w:rsidP="00000000" w:rsidRDefault="00000000" w:rsidRPr="00000000" w14:paraId="000001C1">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7 (31,8 %)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C2">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23</w:t>
            </w:r>
          </w:p>
        </w:tc>
        <w:tc>
          <w:tcPr/>
          <w:p w:rsidR="00000000" w:rsidDel="00000000" w:rsidP="00000000" w:rsidRDefault="00000000" w:rsidRPr="00000000" w14:paraId="000001C3">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9 (39,1 %)</w:t>
            </w:r>
          </w:p>
        </w:tc>
        <w:tc>
          <w:tcPr>
            <w:tcBorders>
              <w:right w:color="000000" w:space="0" w:sz="0" w:val="nil"/>
            </w:tcBorders>
          </w:tcPr>
          <w:p w:rsidR="00000000" w:rsidDel="00000000" w:rsidP="00000000" w:rsidRDefault="00000000" w:rsidRPr="00000000" w14:paraId="000001C4">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8 (34,8 %)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C5">
            <w:pPr>
              <w:widowControl w:val="0"/>
              <w:spacing w:before="60"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24</w:t>
            </w:r>
          </w:p>
        </w:tc>
        <w:tc>
          <w:tcPr/>
          <w:p w:rsidR="00000000" w:rsidDel="00000000" w:rsidP="00000000" w:rsidRDefault="00000000" w:rsidRPr="00000000" w14:paraId="000001C6">
            <w:pPr>
              <w:widowControl w:val="0"/>
              <w:spacing w:before="60"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10 (41,7 %)</w:t>
            </w:r>
          </w:p>
        </w:tc>
        <w:tc>
          <w:tcPr>
            <w:tcBorders>
              <w:right w:color="000000" w:space="0" w:sz="0" w:val="nil"/>
            </w:tcBorders>
          </w:tcPr>
          <w:p w:rsidR="00000000" w:rsidDel="00000000" w:rsidP="00000000" w:rsidRDefault="00000000" w:rsidRPr="00000000" w14:paraId="000001C7">
            <w:pPr>
              <w:widowControl w:val="0"/>
              <w:spacing w:before="60"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8 (33,3 %)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C8">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25</w:t>
            </w:r>
          </w:p>
        </w:tc>
        <w:tc>
          <w:tcPr/>
          <w:p w:rsidR="00000000" w:rsidDel="00000000" w:rsidP="00000000" w:rsidRDefault="00000000" w:rsidRPr="00000000" w14:paraId="000001C9">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10 (40 %)</w:t>
            </w:r>
          </w:p>
        </w:tc>
        <w:tc>
          <w:tcPr>
            <w:tcBorders>
              <w:right w:color="000000" w:space="0" w:sz="0" w:val="nil"/>
            </w:tcBorders>
          </w:tcPr>
          <w:p w:rsidR="00000000" w:rsidDel="00000000" w:rsidP="00000000" w:rsidRDefault="00000000" w:rsidRPr="00000000" w14:paraId="000001CA">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8 (32 %)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CB">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26</w:t>
            </w:r>
          </w:p>
        </w:tc>
        <w:tc>
          <w:tcPr/>
          <w:p w:rsidR="00000000" w:rsidDel="00000000" w:rsidP="00000000" w:rsidRDefault="00000000" w:rsidRPr="00000000" w14:paraId="000001CC">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10 (38,5 %)</w:t>
            </w:r>
          </w:p>
        </w:tc>
        <w:tc>
          <w:tcPr>
            <w:tcBorders>
              <w:right w:color="000000" w:space="0" w:sz="0" w:val="nil"/>
            </w:tcBorders>
          </w:tcPr>
          <w:p w:rsidR="00000000" w:rsidDel="00000000" w:rsidP="00000000" w:rsidRDefault="00000000" w:rsidRPr="00000000" w14:paraId="000001CD">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9 (34,6 %)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CE">
            <w:pPr>
              <w:widowControl w:val="0"/>
              <w:spacing w:before="60"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27</w:t>
            </w:r>
          </w:p>
        </w:tc>
        <w:tc>
          <w:tcPr/>
          <w:p w:rsidR="00000000" w:rsidDel="00000000" w:rsidP="00000000" w:rsidRDefault="00000000" w:rsidRPr="00000000" w14:paraId="000001CF">
            <w:pPr>
              <w:widowControl w:val="0"/>
              <w:spacing w:before="60"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11 (40,7 %)</w:t>
            </w:r>
          </w:p>
        </w:tc>
        <w:tc>
          <w:tcPr>
            <w:tcBorders>
              <w:right w:color="000000" w:space="0" w:sz="0" w:val="nil"/>
            </w:tcBorders>
          </w:tcPr>
          <w:p w:rsidR="00000000" w:rsidDel="00000000" w:rsidP="00000000" w:rsidRDefault="00000000" w:rsidRPr="00000000" w14:paraId="000001D0">
            <w:pPr>
              <w:widowControl w:val="0"/>
              <w:spacing w:before="60"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9 (33,3 %)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D1">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28</w:t>
            </w:r>
          </w:p>
        </w:tc>
        <w:tc>
          <w:tcPr/>
          <w:p w:rsidR="00000000" w:rsidDel="00000000" w:rsidP="00000000" w:rsidRDefault="00000000" w:rsidRPr="00000000" w14:paraId="000001D2">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11 (39,3 %)</w:t>
            </w:r>
          </w:p>
        </w:tc>
        <w:tc>
          <w:tcPr>
            <w:tcBorders>
              <w:right w:color="000000" w:space="0" w:sz="0" w:val="nil"/>
            </w:tcBorders>
          </w:tcPr>
          <w:p w:rsidR="00000000" w:rsidDel="00000000" w:rsidP="00000000" w:rsidRDefault="00000000" w:rsidRPr="00000000" w14:paraId="000001D3">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9 (32,1 %)</w:t>
            </w:r>
          </w:p>
        </w:tc>
      </w:tr>
      <w:tr>
        <w:trPr>
          <w:cantSplit w:val="0"/>
          <w:trHeight w:val="340" w:hRule="atLeast"/>
          <w:tblHeader w:val="0"/>
        </w:trPr>
        <w:tc>
          <w:tcPr>
            <w:tcBorders>
              <w:left w:color="000000" w:space="0" w:sz="0" w:val="nil"/>
            </w:tcBorders>
          </w:tcPr>
          <w:p w:rsidR="00000000" w:rsidDel="00000000" w:rsidP="00000000" w:rsidRDefault="00000000" w:rsidRPr="00000000" w14:paraId="000001D4">
            <w:pPr>
              <w:widowControl w:val="0"/>
              <w:spacing w:before="61" w:line="24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29</w:t>
            </w:r>
          </w:p>
        </w:tc>
        <w:tc>
          <w:tcPr/>
          <w:p w:rsidR="00000000" w:rsidDel="00000000" w:rsidP="00000000" w:rsidRDefault="00000000" w:rsidRPr="00000000" w14:paraId="000001D5">
            <w:pPr>
              <w:widowControl w:val="0"/>
              <w:spacing w:before="61" w:line="24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12 (41,4 %)</w:t>
            </w:r>
          </w:p>
        </w:tc>
        <w:tc>
          <w:tcPr>
            <w:tcBorders>
              <w:right w:color="000000" w:space="0" w:sz="0" w:val="nil"/>
            </w:tcBorders>
          </w:tcPr>
          <w:p w:rsidR="00000000" w:rsidDel="00000000" w:rsidP="00000000" w:rsidRDefault="00000000" w:rsidRPr="00000000" w14:paraId="000001D6">
            <w:pPr>
              <w:widowControl w:val="0"/>
              <w:spacing w:before="61" w:line="24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10 (34,5 %)</w:t>
            </w:r>
          </w:p>
        </w:tc>
      </w:tr>
      <w:tr>
        <w:trPr>
          <w:cantSplit w:val="0"/>
          <w:trHeight w:val="280" w:hRule="atLeast"/>
          <w:tblHeader w:val="0"/>
        </w:trPr>
        <w:tc>
          <w:tcPr>
            <w:tcBorders>
              <w:left w:color="000000" w:space="0" w:sz="0" w:val="nil"/>
            </w:tcBorders>
          </w:tcPr>
          <w:p w:rsidR="00000000" w:rsidDel="00000000" w:rsidP="00000000" w:rsidRDefault="00000000" w:rsidRPr="00000000" w14:paraId="000001D7">
            <w:pPr>
              <w:widowControl w:val="0"/>
              <w:spacing w:before="60" w:line="200" w:lineRule="auto"/>
              <w:ind w:right="82"/>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30</w:t>
            </w:r>
          </w:p>
        </w:tc>
        <w:tc>
          <w:tcPr/>
          <w:p w:rsidR="00000000" w:rsidDel="00000000" w:rsidP="00000000" w:rsidRDefault="00000000" w:rsidRPr="00000000" w14:paraId="000001D8">
            <w:pPr>
              <w:widowControl w:val="0"/>
              <w:spacing w:before="60" w:line="200" w:lineRule="auto"/>
              <w:ind w:left="10"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12 (40 %)</w:t>
            </w:r>
          </w:p>
        </w:tc>
        <w:tc>
          <w:tcPr>
            <w:tcBorders>
              <w:right w:color="000000" w:space="0" w:sz="0" w:val="nil"/>
            </w:tcBorders>
          </w:tcPr>
          <w:p w:rsidR="00000000" w:rsidDel="00000000" w:rsidP="00000000" w:rsidRDefault="00000000" w:rsidRPr="00000000" w14:paraId="000001D9">
            <w:pPr>
              <w:widowControl w:val="0"/>
              <w:spacing w:before="60" w:line="200" w:lineRule="auto"/>
              <w:ind w:left="105" w:firstLine="0"/>
              <w:jc w:val="center"/>
              <w:rPr>
                <w:rFonts w:ascii="Cambria" w:cs="Cambria" w:eastAsia="Cambria" w:hAnsi="Cambria"/>
                <w:sz w:val="19"/>
                <w:szCs w:val="19"/>
              </w:rPr>
            </w:pPr>
            <w:r w:rsidDel="00000000" w:rsidR="00000000" w:rsidRPr="00000000">
              <w:rPr>
                <w:rFonts w:ascii="Cambria" w:cs="Cambria" w:eastAsia="Cambria" w:hAnsi="Cambria"/>
                <w:sz w:val="19"/>
                <w:szCs w:val="19"/>
                <w:rtl w:val="0"/>
              </w:rPr>
              <w:t xml:space="preserve">10 (33,3 %)</w:t>
            </w:r>
          </w:p>
        </w:tc>
      </w:tr>
    </w:tbl>
    <w:p w:rsidR="00000000" w:rsidDel="00000000" w:rsidP="00000000" w:rsidRDefault="00000000" w:rsidRPr="00000000" w14:paraId="000001DA">
      <w:pPr>
        <w:widowControl w:val="0"/>
        <w:spacing w:before="61" w:line="200" w:lineRule="auto"/>
        <w:jc w:val="center"/>
        <w:rPr>
          <w:rFonts w:ascii="Cambria" w:cs="Cambria" w:eastAsia="Cambria" w:hAnsi="Cambria"/>
          <w:sz w:val="19"/>
          <w:szCs w:val="19"/>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sectPr>
      <w:type w:val="nextPage"/>
      <w:pgSz w:h="16834" w:w="11909" w:orient="portrait"/>
      <w:pgMar w:bottom="280" w:top="1220" w:left="850" w:right="1275" w:header="957"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15" w:hanging="720"/>
      </w:pPr>
      <w:rPr>
        <w:u w:val="none"/>
      </w:rPr>
    </w:lvl>
    <w:lvl w:ilvl="1">
      <w:start w:val="1"/>
      <w:numFmt w:val="decimal"/>
      <w:lvlText w:val="%2."/>
      <w:lvlJc w:val="left"/>
      <w:pPr>
        <w:ind w:left="515" w:hanging="720"/>
      </w:pPr>
      <w:rPr>
        <w:u w:val="none"/>
      </w:rPr>
    </w:lvl>
    <w:lvl w:ilvl="2">
      <w:start w:val="0"/>
      <w:numFmt w:val="bullet"/>
      <w:lvlText w:val="•"/>
      <w:lvlJc w:val="left"/>
      <w:pPr>
        <w:ind w:left="2375" w:hanging="720"/>
      </w:pPr>
      <w:rPr>
        <w:u w:val="none"/>
      </w:rPr>
    </w:lvl>
    <w:lvl w:ilvl="3">
      <w:start w:val="0"/>
      <w:numFmt w:val="bullet"/>
      <w:lvlText w:val="•"/>
      <w:lvlJc w:val="left"/>
      <w:pPr>
        <w:ind w:left="3302" w:hanging="720"/>
      </w:pPr>
      <w:rPr>
        <w:u w:val="none"/>
      </w:rPr>
    </w:lvl>
    <w:lvl w:ilvl="4">
      <w:start w:val="0"/>
      <w:numFmt w:val="bullet"/>
      <w:lvlText w:val="•"/>
      <w:lvlJc w:val="left"/>
      <w:pPr>
        <w:ind w:left="4230" w:hanging="720"/>
      </w:pPr>
      <w:rPr>
        <w:u w:val="none"/>
      </w:rPr>
    </w:lvl>
    <w:lvl w:ilvl="5">
      <w:start w:val="0"/>
      <w:numFmt w:val="bullet"/>
      <w:lvlText w:val="•"/>
      <w:lvlJc w:val="left"/>
      <w:pPr>
        <w:ind w:left="5157" w:hanging="720"/>
      </w:pPr>
      <w:rPr>
        <w:u w:val="none"/>
      </w:rPr>
    </w:lvl>
    <w:lvl w:ilvl="6">
      <w:start w:val="0"/>
      <w:numFmt w:val="bullet"/>
      <w:lvlText w:val="•"/>
      <w:lvlJc w:val="left"/>
      <w:pPr>
        <w:ind w:left="6085" w:hanging="720"/>
      </w:pPr>
      <w:rPr>
        <w:u w:val="none"/>
      </w:rPr>
    </w:lvl>
    <w:lvl w:ilvl="7">
      <w:start w:val="0"/>
      <w:numFmt w:val="bullet"/>
      <w:lvlText w:val="•"/>
      <w:lvlJc w:val="left"/>
      <w:pPr>
        <w:ind w:left="7012" w:hanging="720"/>
      </w:pPr>
      <w:rPr>
        <w:u w:val="none"/>
      </w:rPr>
    </w:lvl>
    <w:lvl w:ilvl="8">
      <w:start w:val="0"/>
      <w:numFmt w:val="bullet"/>
      <w:lvlText w:val="•"/>
      <w:lvlJc w:val="left"/>
      <w:pPr>
        <w:ind w:left="7940" w:hanging="720"/>
      </w:pPr>
      <w:rPr>
        <w:u w:val="none"/>
      </w:rPr>
    </w:lvl>
  </w:abstractNum>
  <w:abstractNum w:abstractNumId="2">
    <w:lvl w:ilvl="0">
      <w:start w:val="1"/>
      <w:numFmt w:val="decimal"/>
      <w:lvlText w:val="%1."/>
      <w:lvlJc w:val="left"/>
      <w:pPr>
        <w:ind w:left="515" w:hanging="720"/>
      </w:pPr>
      <w:rPr>
        <w:u w:val="none"/>
      </w:rPr>
    </w:lvl>
    <w:lvl w:ilvl="1">
      <w:start w:val="1"/>
      <w:numFmt w:val="lowerLetter"/>
      <w:lvlText w:val="%2)"/>
      <w:lvlJc w:val="left"/>
      <w:pPr>
        <w:ind w:left="770" w:hanging="255"/>
      </w:pPr>
      <w:rPr>
        <w:u w:val="none"/>
      </w:rPr>
    </w:lvl>
    <w:lvl w:ilvl="2">
      <w:start w:val="0"/>
      <w:numFmt w:val="bullet"/>
      <w:lvlText w:val="•"/>
      <w:lvlJc w:val="left"/>
      <w:pPr>
        <w:ind w:left="1020" w:hanging="255"/>
      </w:pPr>
      <w:rPr>
        <w:u w:val="none"/>
      </w:rPr>
    </w:lvl>
    <w:lvl w:ilvl="3">
      <w:start w:val="0"/>
      <w:numFmt w:val="bullet"/>
      <w:lvlText w:val="•"/>
      <w:lvlJc w:val="left"/>
      <w:pPr>
        <w:ind w:left="2116" w:hanging="255"/>
      </w:pPr>
      <w:rPr>
        <w:u w:val="none"/>
      </w:rPr>
    </w:lvl>
    <w:lvl w:ilvl="4">
      <w:start w:val="0"/>
      <w:numFmt w:val="bullet"/>
      <w:lvlText w:val="•"/>
      <w:lvlJc w:val="left"/>
      <w:pPr>
        <w:ind w:left="3213" w:hanging="255"/>
      </w:pPr>
      <w:rPr>
        <w:u w:val="none"/>
      </w:rPr>
    </w:lvl>
    <w:lvl w:ilvl="5">
      <w:start w:val="0"/>
      <w:numFmt w:val="bullet"/>
      <w:lvlText w:val="•"/>
      <w:lvlJc w:val="left"/>
      <w:pPr>
        <w:ind w:left="4310" w:hanging="255"/>
      </w:pPr>
      <w:rPr>
        <w:u w:val="none"/>
      </w:rPr>
    </w:lvl>
    <w:lvl w:ilvl="6">
      <w:start w:val="0"/>
      <w:numFmt w:val="bullet"/>
      <w:lvlText w:val="•"/>
      <w:lvlJc w:val="left"/>
      <w:pPr>
        <w:ind w:left="5407" w:hanging="255"/>
      </w:pPr>
      <w:rPr>
        <w:u w:val="none"/>
      </w:rPr>
    </w:lvl>
    <w:lvl w:ilvl="7">
      <w:start w:val="0"/>
      <w:numFmt w:val="bullet"/>
      <w:lvlText w:val="•"/>
      <w:lvlJc w:val="left"/>
      <w:pPr>
        <w:ind w:left="6504" w:hanging="255"/>
      </w:pPr>
      <w:rPr>
        <w:u w:val="none"/>
      </w:rPr>
    </w:lvl>
    <w:lvl w:ilvl="8">
      <w:start w:val="0"/>
      <w:numFmt w:val="bullet"/>
      <w:lvlText w:val="•"/>
      <w:lvlJc w:val="left"/>
      <w:pPr>
        <w:ind w:left="7601" w:hanging="255"/>
      </w:pPr>
      <w:rPr>
        <w:u w:val="none"/>
      </w:rPr>
    </w:lvl>
  </w:abstractNum>
  <w:abstractNum w:abstractNumId="3">
    <w:lvl w:ilvl="0">
      <w:start w:val="1"/>
      <w:numFmt w:val="decimal"/>
      <w:lvlText w:val="(%1)"/>
      <w:lvlJc w:val="left"/>
      <w:pPr>
        <w:ind w:left="1025" w:hanging="510"/>
      </w:pPr>
      <w:rPr>
        <w:u w:val="none"/>
      </w:rPr>
    </w:lvl>
    <w:lvl w:ilvl="1">
      <w:start w:val="1"/>
      <w:numFmt w:val="lowerLetter"/>
      <w:lvlText w:val="%2)"/>
      <w:lvlJc w:val="left"/>
      <w:pPr>
        <w:ind w:left="1145" w:hanging="360"/>
      </w:pPr>
      <w:rPr>
        <w:u w:val="none"/>
      </w:rPr>
    </w:lvl>
    <w:lvl w:ilvl="2">
      <w:start w:val="0"/>
      <w:numFmt w:val="bullet"/>
      <w:lvlText w:val="•"/>
      <w:lvlJc w:val="left"/>
      <w:pPr>
        <w:ind w:left="2101" w:hanging="360"/>
      </w:pPr>
      <w:rPr>
        <w:u w:val="none"/>
      </w:rPr>
    </w:lvl>
    <w:lvl w:ilvl="3">
      <w:start w:val="0"/>
      <w:numFmt w:val="bullet"/>
      <w:lvlText w:val="•"/>
      <w:lvlJc w:val="left"/>
      <w:pPr>
        <w:ind w:left="3063" w:hanging="360"/>
      </w:pPr>
      <w:rPr>
        <w:u w:val="none"/>
      </w:rPr>
    </w:lvl>
    <w:lvl w:ilvl="4">
      <w:start w:val="0"/>
      <w:numFmt w:val="bullet"/>
      <w:lvlText w:val="•"/>
      <w:lvlJc w:val="left"/>
      <w:pPr>
        <w:ind w:left="4025" w:hanging="360"/>
      </w:pPr>
      <w:rPr>
        <w:u w:val="none"/>
      </w:rPr>
    </w:lvl>
    <w:lvl w:ilvl="5">
      <w:start w:val="0"/>
      <w:numFmt w:val="bullet"/>
      <w:lvlText w:val="•"/>
      <w:lvlJc w:val="left"/>
      <w:pPr>
        <w:ind w:left="4986" w:hanging="360"/>
      </w:pPr>
      <w:rPr>
        <w:u w:val="none"/>
      </w:rPr>
    </w:lvl>
    <w:lvl w:ilvl="6">
      <w:start w:val="0"/>
      <w:numFmt w:val="bullet"/>
      <w:lvlText w:val="•"/>
      <w:lvlJc w:val="left"/>
      <w:pPr>
        <w:ind w:left="5948" w:hanging="360"/>
      </w:pPr>
      <w:rPr>
        <w:u w:val="none"/>
      </w:rPr>
    </w:lvl>
    <w:lvl w:ilvl="7">
      <w:start w:val="0"/>
      <w:numFmt w:val="bullet"/>
      <w:lvlText w:val="•"/>
      <w:lvlJc w:val="left"/>
      <w:pPr>
        <w:ind w:left="6910" w:hanging="360"/>
      </w:pPr>
      <w:rPr>
        <w:u w:val="none"/>
      </w:rPr>
    </w:lvl>
    <w:lvl w:ilvl="8">
      <w:start w:val="0"/>
      <w:numFmt w:val="bullet"/>
      <w:lvlText w:val="•"/>
      <w:lvlJc w:val="left"/>
      <w:pPr>
        <w:ind w:left="7871" w:hanging="360"/>
      </w:pPr>
      <w:rPr>
        <w:u w:val="none"/>
      </w:rPr>
    </w:lvl>
  </w:abstractNum>
  <w:abstractNum w:abstractNumId="4">
    <w:lvl w:ilvl="0">
      <w:start w:val="1"/>
      <w:numFmt w:val="decimal"/>
      <w:lvlText w:val="%1."/>
      <w:lvlJc w:val="left"/>
      <w:pPr>
        <w:ind w:left="515" w:hanging="885"/>
      </w:pPr>
      <w:rPr>
        <w:u w:val="none"/>
      </w:rPr>
    </w:lvl>
    <w:lvl w:ilvl="1">
      <w:start w:val="0"/>
      <w:numFmt w:val="bullet"/>
      <w:lvlText w:val="•"/>
      <w:lvlJc w:val="left"/>
      <w:pPr>
        <w:ind w:left="1430" w:hanging="450"/>
      </w:pPr>
      <w:rPr>
        <w:u w:val="none"/>
      </w:rPr>
    </w:lvl>
    <w:lvl w:ilvl="2">
      <w:start w:val="0"/>
      <w:numFmt w:val="bullet"/>
      <w:lvlText w:val="•"/>
      <w:lvlJc w:val="left"/>
      <w:pPr>
        <w:ind w:left="2360" w:hanging="450"/>
      </w:pPr>
      <w:rPr>
        <w:u w:val="none"/>
      </w:rPr>
    </w:lvl>
    <w:lvl w:ilvl="3">
      <w:start w:val="0"/>
      <w:numFmt w:val="bullet"/>
      <w:lvlText w:val="•"/>
      <w:lvlJc w:val="left"/>
      <w:pPr>
        <w:ind w:left="3289" w:hanging="450"/>
      </w:pPr>
      <w:rPr>
        <w:u w:val="none"/>
      </w:rPr>
    </w:lvl>
    <w:lvl w:ilvl="4">
      <w:start w:val="0"/>
      <w:numFmt w:val="bullet"/>
      <w:lvlText w:val="•"/>
      <w:lvlJc w:val="left"/>
      <w:pPr>
        <w:ind w:left="4218" w:hanging="450"/>
      </w:pPr>
      <w:rPr>
        <w:u w:val="none"/>
      </w:rPr>
    </w:lvl>
    <w:lvl w:ilvl="5">
      <w:start w:val="0"/>
      <w:numFmt w:val="bullet"/>
      <w:lvlText w:val="•"/>
      <w:lvlJc w:val="left"/>
      <w:pPr>
        <w:ind w:left="5148" w:hanging="450"/>
      </w:pPr>
      <w:rPr>
        <w:u w:val="none"/>
      </w:rPr>
    </w:lvl>
    <w:lvl w:ilvl="6">
      <w:start w:val="0"/>
      <w:numFmt w:val="bullet"/>
      <w:lvlText w:val="•"/>
      <w:lvlJc w:val="left"/>
      <w:pPr>
        <w:ind w:left="6077" w:hanging="450"/>
      </w:pPr>
      <w:rPr>
        <w:u w:val="none"/>
      </w:rPr>
    </w:lvl>
    <w:lvl w:ilvl="7">
      <w:start w:val="0"/>
      <w:numFmt w:val="bullet"/>
      <w:lvlText w:val="•"/>
      <w:lvlJc w:val="left"/>
      <w:pPr>
        <w:ind w:left="7006" w:hanging="450"/>
      </w:pPr>
      <w:rPr>
        <w:u w:val="none"/>
      </w:rPr>
    </w:lvl>
    <w:lvl w:ilvl="8">
      <w:start w:val="0"/>
      <w:numFmt w:val="bullet"/>
      <w:lvlText w:val="•"/>
      <w:lvlJc w:val="left"/>
      <w:pPr>
        <w:ind w:left="7936" w:hanging="450"/>
      </w:pPr>
      <w:rPr>
        <w:u w:val="none"/>
      </w:rPr>
    </w:lvl>
  </w:abstractNum>
  <w:abstractNum w:abstractNumId="5">
    <w:lvl w:ilvl="0">
      <w:start w:val="1"/>
      <w:numFmt w:val="decimal"/>
      <w:lvlText w:val="%1."/>
      <w:lvlJc w:val="left"/>
      <w:pPr>
        <w:ind w:left="515" w:hanging="720"/>
      </w:pPr>
      <w:rPr>
        <w:u w:val="none"/>
      </w:rPr>
    </w:lvl>
    <w:lvl w:ilvl="1">
      <w:start w:val="1"/>
      <w:numFmt w:val="lowerLetter"/>
      <w:lvlText w:val="%2)"/>
      <w:lvlJc w:val="left"/>
      <w:pPr>
        <w:ind w:left="770" w:hanging="255"/>
      </w:pPr>
      <w:rPr>
        <w:u w:val="none"/>
      </w:rPr>
    </w:lvl>
    <w:lvl w:ilvl="2">
      <w:start w:val="0"/>
      <w:numFmt w:val="bullet"/>
      <w:lvlText w:val="•"/>
      <w:lvlJc w:val="left"/>
      <w:pPr>
        <w:ind w:left="1781" w:hanging="255"/>
      </w:pPr>
      <w:rPr>
        <w:u w:val="none"/>
      </w:rPr>
    </w:lvl>
    <w:lvl w:ilvl="3">
      <w:start w:val="0"/>
      <w:numFmt w:val="bullet"/>
      <w:lvlText w:val="•"/>
      <w:lvlJc w:val="left"/>
      <w:pPr>
        <w:ind w:left="2783" w:hanging="255"/>
      </w:pPr>
      <w:rPr>
        <w:u w:val="none"/>
      </w:rPr>
    </w:lvl>
    <w:lvl w:ilvl="4">
      <w:start w:val="0"/>
      <w:numFmt w:val="bullet"/>
      <w:lvlText w:val="•"/>
      <w:lvlJc w:val="left"/>
      <w:pPr>
        <w:ind w:left="3785" w:hanging="255"/>
      </w:pPr>
      <w:rPr>
        <w:u w:val="none"/>
      </w:rPr>
    </w:lvl>
    <w:lvl w:ilvl="5">
      <w:start w:val="0"/>
      <w:numFmt w:val="bullet"/>
      <w:lvlText w:val="•"/>
      <w:lvlJc w:val="left"/>
      <w:pPr>
        <w:ind w:left="4786" w:hanging="255"/>
      </w:pPr>
      <w:rPr>
        <w:u w:val="none"/>
      </w:rPr>
    </w:lvl>
    <w:lvl w:ilvl="6">
      <w:start w:val="0"/>
      <w:numFmt w:val="bullet"/>
      <w:lvlText w:val="•"/>
      <w:lvlJc w:val="left"/>
      <w:pPr>
        <w:ind w:left="5788" w:hanging="255"/>
      </w:pPr>
      <w:rPr>
        <w:u w:val="none"/>
      </w:rPr>
    </w:lvl>
    <w:lvl w:ilvl="7">
      <w:start w:val="0"/>
      <w:numFmt w:val="bullet"/>
      <w:lvlText w:val="•"/>
      <w:lvlJc w:val="left"/>
      <w:pPr>
        <w:ind w:left="6790" w:hanging="255"/>
      </w:pPr>
      <w:rPr>
        <w:u w:val="none"/>
      </w:rPr>
    </w:lvl>
    <w:lvl w:ilvl="8">
      <w:start w:val="0"/>
      <w:numFmt w:val="bullet"/>
      <w:lvlText w:val="•"/>
      <w:lvlJc w:val="left"/>
      <w:pPr>
        <w:ind w:left="7791" w:hanging="255"/>
      </w:pPr>
      <w:rPr>
        <w:u w:val="none"/>
      </w:rPr>
    </w:lvl>
  </w:abstractNum>
  <w:abstractNum w:abstractNumId="6">
    <w:lvl w:ilvl="0">
      <w:start w:val="1"/>
      <w:numFmt w:val="decimal"/>
      <w:lvlText w:val="%1."/>
      <w:lvlJc w:val="left"/>
      <w:pPr>
        <w:ind w:left="515" w:hanging="720"/>
      </w:pPr>
      <w:rPr>
        <w:u w:val="none"/>
      </w:rPr>
    </w:lvl>
    <w:lvl w:ilvl="1">
      <w:start w:val="0"/>
      <w:numFmt w:val="bullet"/>
      <w:lvlText w:val="•"/>
      <w:lvlJc w:val="left"/>
      <w:pPr>
        <w:ind w:left="1447" w:hanging="720.0000000000001"/>
      </w:pPr>
      <w:rPr>
        <w:u w:val="none"/>
      </w:rPr>
    </w:lvl>
    <w:lvl w:ilvl="2">
      <w:start w:val="0"/>
      <w:numFmt w:val="bullet"/>
      <w:lvlText w:val="•"/>
      <w:lvlJc w:val="left"/>
      <w:pPr>
        <w:ind w:left="2375" w:hanging="720"/>
      </w:pPr>
      <w:rPr>
        <w:u w:val="none"/>
      </w:rPr>
    </w:lvl>
    <w:lvl w:ilvl="3">
      <w:start w:val="0"/>
      <w:numFmt w:val="bullet"/>
      <w:lvlText w:val="•"/>
      <w:lvlJc w:val="left"/>
      <w:pPr>
        <w:ind w:left="3302" w:hanging="720"/>
      </w:pPr>
      <w:rPr>
        <w:u w:val="none"/>
      </w:rPr>
    </w:lvl>
    <w:lvl w:ilvl="4">
      <w:start w:val="0"/>
      <w:numFmt w:val="bullet"/>
      <w:lvlText w:val="•"/>
      <w:lvlJc w:val="left"/>
      <w:pPr>
        <w:ind w:left="4230" w:hanging="720"/>
      </w:pPr>
      <w:rPr>
        <w:u w:val="none"/>
      </w:rPr>
    </w:lvl>
    <w:lvl w:ilvl="5">
      <w:start w:val="0"/>
      <w:numFmt w:val="bullet"/>
      <w:lvlText w:val="•"/>
      <w:lvlJc w:val="left"/>
      <w:pPr>
        <w:ind w:left="5157" w:hanging="720"/>
      </w:pPr>
      <w:rPr>
        <w:u w:val="none"/>
      </w:rPr>
    </w:lvl>
    <w:lvl w:ilvl="6">
      <w:start w:val="0"/>
      <w:numFmt w:val="bullet"/>
      <w:lvlText w:val="•"/>
      <w:lvlJc w:val="left"/>
      <w:pPr>
        <w:ind w:left="6085" w:hanging="720"/>
      </w:pPr>
      <w:rPr>
        <w:u w:val="none"/>
      </w:rPr>
    </w:lvl>
    <w:lvl w:ilvl="7">
      <w:start w:val="0"/>
      <w:numFmt w:val="bullet"/>
      <w:lvlText w:val="•"/>
      <w:lvlJc w:val="left"/>
      <w:pPr>
        <w:ind w:left="7012" w:hanging="720"/>
      </w:pPr>
      <w:rPr>
        <w:u w:val="none"/>
      </w:rPr>
    </w:lvl>
    <w:lvl w:ilvl="8">
      <w:start w:val="0"/>
      <w:numFmt w:val="bullet"/>
      <w:lvlText w:val="•"/>
      <w:lvlJc w:val="left"/>
      <w:pPr>
        <w:ind w:left="7940" w:hanging="720"/>
      </w:pPr>
      <w:rPr>
        <w:u w:val="none"/>
      </w:rPr>
    </w:lvl>
  </w:abstractNum>
  <w:abstractNum w:abstractNumId="7">
    <w:lvl w:ilvl="0">
      <w:start w:val="1"/>
      <w:numFmt w:val="decimal"/>
      <w:lvlText w:val="%1)"/>
      <w:lvlJc w:val="left"/>
      <w:pPr>
        <w:ind w:left="770" w:hanging="255"/>
      </w:pPr>
      <w:rPr>
        <w:u w:val="none"/>
      </w:rPr>
    </w:lvl>
    <w:lvl w:ilvl="1">
      <w:start w:val="0"/>
      <w:numFmt w:val="bullet"/>
      <w:lvlText w:val="•"/>
      <w:lvlJc w:val="left"/>
      <w:pPr>
        <w:ind w:left="1681" w:hanging="255"/>
      </w:pPr>
      <w:rPr>
        <w:u w:val="none"/>
      </w:rPr>
    </w:lvl>
    <w:lvl w:ilvl="2">
      <w:start w:val="0"/>
      <w:numFmt w:val="bullet"/>
      <w:lvlText w:val="•"/>
      <w:lvlJc w:val="left"/>
      <w:pPr>
        <w:ind w:left="2583" w:hanging="255"/>
      </w:pPr>
      <w:rPr>
        <w:u w:val="none"/>
      </w:rPr>
    </w:lvl>
    <w:lvl w:ilvl="3">
      <w:start w:val="0"/>
      <w:numFmt w:val="bullet"/>
      <w:lvlText w:val="•"/>
      <w:lvlJc w:val="left"/>
      <w:pPr>
        <w:ind w:left="3484" w:hanging="255"/>
      </w:pPr>
      <w:rPr>
        <w:u w:val="none"/>
      </w:rPr>
    </w:lvl>
    <w:lvl w:ilvl="4">
      <w:start w:val="0"/>
      <w:numFmt w:val="bullet"/>
      <w:lvlText w:val="•"/>
      <w:lvlJc w:val="left"/>
      <w:pPr>
        <w:ind w:left="4386" w:hanging="255"/>
      </w:pPr>
      <w:rPr>
        <w:u w:val="none"/>
      </w:rPr>
    </w:lvl>
    <w:lvl w:ilvl="5">
      <w:start w:val="0"/>
      <w:numFmt w:val="bullet"/>
      <w:lvlText w:val="•"/>
      <w:lvlJc w:val="left"/>
      <w:pPr>
        <w:ind w:left="5287" w:hanging="255"/>
      </w:pPr>
      <w:rPr>
        <w:u w:val="none"/>
      </w:rPr>
    </w:lvl>
    <w:lvl w:ilvl="6">
      <w:start w:val="0"/>
      <w:numFmt w:val="bullet"/>
      <w:lvlText w:val="•"/>
      <w:lvlJc w:val="left"/>
      <w:pPr>
        <w:ind w:left="6189" w:hanging="255"/>
      </w:pPr>
      <w:rPr>
        <w:u w:val="none"/>
      </w:rPr>
    </w:lvl>
    <w:lvl w:ilvl="7">
      <w:start w:val="0"/>
      <w:numFmt w:val="bullet"/>
      <w:lvlText w:val="•"/>
      <w:lvlJc w:val="left"/>
      <w:pPr>
        <w:ind w:left="7090" w:hanging="255"/>
      </w:pPr>
      <w:rPr>
        <w:u w:val="none"/>
      </w:rPr>
    </w:lvl>
    <w:lvl w:ilvl="8">
      <w:start w:val="0"/>
      <w:numFmt w:val="bullet"/>
      <w:lvlText w:val="•"/>
      <w:lvlJc w:val="left"/>
      <w:pPr>
        <w:ind w:left="7992" w:hanging="25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4.png"/><Relationship Id="rId10" Type="http://schemas.openxmlformats.org/officeDocument/2006/relationships/image" Target="media/image15.png"/><Relationship Id="rId12" Type="http://schemas.openxmlformats.org/officeDocument/2006/relationships/image" Target="media/image12.png"/><Relationship Id="rId9" Type="http://schemas.openxmlformats.org/officeDocument/2006/relationships/image" Target="media/image16.pn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8.png"/><Relationship Id="rId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