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8D417" w14:textId="3070BF86" w:rsidR="00A421D7" w:rsidRPr="00C07F90" w:rsidRDefault="00336564" w:rsidP="00C07F90">
      <w:pPr>
        <w:pStyle w:val="Heading2"/>
        <w:jc w:val="center"/>
        <w:rPr>
          <w:sz w:val="36"/>
          <w:szCs w:val="36"/>
        </w:rPr>
      </w:pPr>
      <w:r>
        <w:br/>
      </w:r>
      <w:r w:rsidR="00E65E59" w:rsidRPr="00E65E59">
        <w:rPr>
          <w:sz w:val="36"/>
          <w:szCs w:val="36"/>
          <w:lang w:val="es-419"/>
        </w:rPr>
        <w:t>Introduction to Tr</w:t>
      </w:r>
      <w:r w:rsidR="00E65E59" w:rsidRPr="00E65E59">
        <w:rPr>
          <w:sz w:val="36"/>
          <w:szCs w:val="36"/>
        </w:rPr>
        <w:t xml:space="preserve">anslingual </w:t>
      </w:r>
      <w:r w:rsidR="00E65E59" w:rsidRPr="00E65E59">
        <w:rPr>
          <w:sz w:val="36"/>
          <w:szCs w:val="36"/>
          <w:lang w:val="es-419"/>
        </w:rPr>
        <w:t>Pedagogic</w:t>
      </w:r>
      <w:r w:rsidR="00E65E59" w:rsidRPr="00E65E59">
        <w:rPr>
          <w:sz w:val="36"/>
          <w:szCs w:val="36"/>
        </w:rPr>
        <w:t xml:space="preserve"> </w:t>
      </w:r>
      <w:r w:rsidR="00E65E59" w:rsidRPr="00E65E59">
        <w:rPr>
          <w:sz w:val="36"/>
          <w:szCs w:val="36"/>
          <w:lang w:val="es-419"/>
        </w:rPr>
        <w:t xml:space="preserve">Design and Analysis </w:t>
      </w:r>
    </w:p>
    <w:p w14:paraId="18687ED2" w14:textId="57D5DA53" w:rsidR="003574D3" w:rsidRPr="00CA27C7" w:rsidRDefault="00A87B74" w:rsidP="00CA27C7">
      <w:pPr>
        <w:rPr>
          <w:rFonts w:ascii="Times New Roman" w:hAnsi="Times New Roman" w:cs="Times New Roman"/>
        </w:rPr>
      </w:pPr>
      <w:r>
        <w:rPr>
          <w:rFonts w:ascii="Times New Roman" w:hAnsi="Times New Roman" w:cs="Times New Roman"/>
        </w:rPr>
        <w:br/>
      </w:r>
      <w:r w:rsidR="00CA27C7" w:rsidRPr="00CA27C7">
        <w:rPr>
          <w:rFonts w:ascii="Times New Roman" w:hAnsi="Times New Roman" w:cs="Times New Roman"/>
        </w:rPr>
        <w:t>This handout introduces a framework for translingual pedagogic design and analysis grounded in Systemic Functional Linguistics and genre-based pedagogy, extended through translanguaging, and complemented by Legitimation Code Theory for macro-level analysis. Genre-Based Translanguaging (GT</w:t>
      </w:r>
      <w:r w:rsidR="00A40F77">
        <w:rPr>
          <w:rFonts w:ascii="Times New Roman" w:hAnsi="Times New Roman" w:cs="Times New Roman"/>
        </w:rPr>
        <w:t xml:space="preserve"> for short</w:t>
      </w:r>
      <w:r w:rsidR="00CA27C7" w:rsidRPr="00CA27C7">
        <w:rPr>
          <w:rFonts w:ascii="Times New Roman" w:hAnsi="Times New Roman" w:cs="Times New Roman"/>
        </w:rPr>
        <w:t>) is presented as a multilingual extension of Reading to Learn, where guidance through interaction around shared texts and experiences is enacted translingually through the principled use of two or more languages.</w:t>
      </w:r>
      <w:r w:rsidR="00E2687F">
        <w:rPr>
          <w:rFonts w:ascii="Times New Roman" w:hAnsi="Times New Roman" w:cs="Times New Roman"/>
        </w:rPr>
        <w:t xml:space="preserve"> </w:t>
      </w:r>
      <w:r w:rsidR="00E2687F" w:rsidRPr="00E2687F">
        <w:rPr>
          <w:rFonts w:ascii="Times New Roman" w:hAnsi="Times New Roman" w:cs="Times New Roman"/>
        </w:rPr>
        <w:t xml:space="preserve">Here, translanguaging refers to the purposeful and strategic use of two or more languages as integrated resources for </w:t>
      </w:r>
      <w:proofErr w:type="gramStart"/>
      <w:r w:rsidR="00891736">
        <w:rPr>
          <w:rFonts w:ascii="Times New Roman" w:hAnsi="Times New Roman" w:cs="Times New Roman"/>
        </w:rPr>
        <w:t>meaning-making</w:t>
      </w:r>
      <w:proofErr w:type="gramEnd"/>
      <w:r w:rsidR="00891736">
        <w:rPr>
          <w:rFonts w:ascii="Times New Roman" w:hAnsi="Times New Roman" w:cs="Times New Roman"/>
        </w:rPr>
        <w:t xml:space="preserve"> in </w:t>
      </w:r>
      <w:r w:rsidR="00E2687F" w:rsidRPr="00E2687F">
        <w:rPr>
          <w:rFonts w:ascii="Times New Roman" w:hAnsi="Times New Roman" w:cs="Times New Roman"/>
        </w:rPr>
        <w:t>teaching, learning, and participation.</w:t>
      </w:r>
    </w:p>
    <w:p w14:paraId="14E97F55" w14:textId="77777777" w:rsidR="00CA27C7" w:rsidRPr="00CA27C7" w:rsidRDefault="00CA27C7" w:rsidP="00CA27C7">
      <w:pPr>
        <w:rPr>
          <w:rFonts w:ascii="Times New Roman" w:hAnsi="Times New Roman" w:cs="Times New Roman"/>
        </w:rPr>
      </w:pPr>
      <w:r w:rsidRPr="00CA27C7">
        <w:rPr>
          <w:rFonts w:ascii="Times New Roman" w:hAnsi="Times New Roman" w:cs="Times New Roman"/>
        </w:rPr>
        <w:t>The framework is organized around two complementary analytical tools:</w:t>
      </w:r>
    </w:p>
    <w:p w14:paraId="5CC69E84" w14:textId="325632DC" w:rsidR="00CA27C7" w:rsidRPr="00CA27C7" w:rsidRDefault="00CA27C7" w:rsidP="00CA27C7">
      <w:pPr>
        <w:numPr>
          <w:ilvl w:val="0"/>
          <w:numId w:val="5"/>
        </w:numPr>
        <w:rPr>
          <w:rFonts w:ascii="Times New Roman" w:hAnsi="Times New Roman" w:cs="Times New Roman"/>
        </w:rPr>
      </w:pPr>
      <w:r w:rsidRPr="00CA27C7">
        <w:rPr>
          <w:rFonts w:ascii="Times New Roman" w:hAnsi="Times New Roman" w:cs="Times New Roman"/>
        </w:rPr>
        <w:t xml:space="preserve">Translingual Teaching–Learning Exchanges for micro-level discourse-semantic analysis </w:t>
      </w:r>
    </w:p>
    <w:p w14:paraId="1539A77B" w14:textId="046CCAD5" w:rsidR="00A421D7" w:rsidRPr="003574D3" w:rsidRDefault="00CA27C7" w:rsidP="003574D3">
      <w:pPr>
        <w:numPr>
          <w:ilvl w:val="0"/>
          <w:numId w:val="5"/>
        </w:numPr>
        <w:rPr>
          <w:rFonts w:ascii="Times New Roman" w:hAnsi="Times New Roman" w:cs="Times New Roman"/>
        </w:rPr>
      </w:pPr>
      <w:r w:rsidRPr="00CA27C7">
        <w:rPr>
          <w:rFonts w:ascii="Times New Roman" w:hAnsi="Times New Roman" w:cs="Times New Roman"/>
        </w:rPr>
        <w:t>LCT Autonomy Analysis for macro-level analysis of lesson trajectories and translanguaging continua</w:t>
      </w:r>
      <w:r w:rsidR="00000570">
        <w:br/>
      </w:r>
    </w:p>
    <w:p w14:paraId="1AC2F0B9" w14:textId="59C92913" w:rsidR="00000570" w:rsidRPr="00445089" w:rsidRDefault="00000570" w:rsidP="00445089">
      <w:r w:rsidRPr="00445089">
        <w:rPr>
          <w:b/>
          <w:bCs/>
          <w:sz w:val="32"/>
          <w:szCs w:val="32"/>
        </w:rPr>
        <w:t>Analytical Tool</w:t>
      </w:r>
      <w:r w:rsidR="0060454D" w:rsidRPr="00445089">
        <w:rPr>
          <w:b/>
          <w:bCs/>
          <w:sz w:val="32"/>
          <w:szCs w:val="32"/>
        </w:rPr>
        <w:t xml:space="preserve"> 1</w:t>
      </w:r>
      <w:r w:rsidR="0060454D" w:rsidRPr="00445089">
        <w:rPr>
          <w:b/>
          <w:bCs/>
          <w:sz w:val="32"/>
          <w:szCs w:val="32"/>
        </w:rPr>
        <w:br/>
        <w:t>Translingual Teaching Learning Exchange Structure</w:t>
      </w:r>
    </w:p>
    <w:p w14:paraId="45A315E5" w14:textId="7FC0E792" w:rsidR="000D2DCD" w:rsidRDefault="00F720E2" w:rsidP="0060454D">
      <w:r w:rsidRPr="00F720E2">
        <w:t xml:space="preserve">Reading to Learn extends the traditional </w:t>
      </w:r>
      <w:r w:rsidR="00DB7223">
        <w:t>Initiation</w:t>
      </w:r>
      <w:r w:rsidR="006956D5">
        <w:t>-Response-Evaluation</w:t>
      </w:r>
      <w:r w:rsidR="00DB7223">
        <w:t xml:space="preserve"> (</w:t>
      </w:r>
      <w:r w:rsidRPr="00F720E2">
        <w:t>IRE</w:t>
      </w:r>
      <w:r w:rsidR="00DB7223">
        <w:t>)</w:t>
      </w:r>
      <w:r w:rsidRPr="00F720E2">
        <w:t xml:space="preserve"> </w:t>
      </w:r>
      <w:r w:rsidR="006956D5">
        <w:t xml:space="preserve">interactional patterns </w:t>
      </w:r>
      <w:r w:rsidRPr="00F720E2">
        <w:t>into pedagogically designed sequences that scaffold successful participation. In GT, these phases function as discourse-semantic units through which language shifts are systematically organized.</w:t>
      </w:r>
    </w:p>
    <w:p w14:paraId="1AD0DE52" w14:textId="77777777" w:rsidR="003574D3" w:rsidRDefault="003574D3" w:rsidP="0060454D"/>
    <w:p w14:paraId="3754D84C" w14:textId="6C9B8AAD" w:rsidR="000D2DCD" w:rsidRDefault="0060454D" w:rsidP="00A87B74">
      <w:pPr>
        <w:jc w:val="center"/>
      </w:pPr>
      <w:r>
        <w:rPr>
          <w:rFonts w:ascii="Georgia" w:hAnsi="Georgia"/>
          <w:noProof/>
          <w:sz w:val="22"/>
          <w:szCs w:val="22"/>
        </w:rPr>
        <w:drawing>
          <wp:inline distT="0" distB="0" distL="0" distR="0" wp14:anchorId="663FF670" wp14:editId="0E4C07AF">
            <wp:extent cx="5928717" cy="1566407"/>
            <wp:effectExtent l="0" t="0" r="2540" b="0"/>
            <wp:docPr id="642903516" name="Picture 3" descr="A grey box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903516" name="Picture 3" descr="A grey box with whit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13430" cy="1615209"/>
                    </a:xfrm>
                    <a:prstGeom prst="rect">
                      <a:avLst/>
                    </a:prstGeom>
                  </pic:spPr>
                </pic:pic>
              </a:graphicData>
            </a:graphic>
          </wp:inline>
        </w:drawing>
      </w:r>
      <w:r>
        <w:br/>
        <w:t>Figure 1. Nuclear and Marginal Phases in R2L Classroom Interactional Patterns</w:t>
      </w:r>
      <w:r w:rsidR="00551A74">
        <w:br/>
        <w:t>(Adapted from Rose, 2018)</w:t>
      </w:r>
    </w:p>
    <w:p w14:paraId="0C133F96" w14:textId="77777777" w:rsidR="003574D3" w:rsidRDefault="003574D3" w:rsidP="00000570"/>
    <w:p w14:paraId="784D6989" w14:textId="59ED9FAB" w:rsidR="00000570" w:rsidRDefault="0060454D" w:rsidP="00000570">
      <w:r w:rsidRPr="0060454D">
        <w:t xml:space="preserve">Prepare and Focus guide attention to relevant meanings, enabling students to complete the Task. Responses are then affirmed through </w:t>
      </w:r>
      <w:proofErr w:type="gramStart"/>
      <w:r w:rsidRPr="0060454D">
        <w:t>Evaluate, and</w:t>
      </w:r>
      <w:proofErr w:type="gramEnd"/>
      <w:r w:rsidRPr="0060454D">
        <w:t xml:space="preserve"> extended through Elaborate to deepen understanding.</w:t>
      </w:r>
      <w:r>
        <w:t xml:space="preserve"> </w:t>
      </w:r>
      <w:r w:rsidRPr="0060454D">
        <w:t xml:space="preserve">Building on this interactional architecture, </w:t>
      </w:r>
      <w:r w:rsidR="00A30BF5">
        <w:t>GT</w:t>
      </w:r>
      <w:r w:rsidRPr="0060454D">
        <w:t xml:space="preserve"> incorporates </w:t>
      </w:r>
      <w:r w:rsidRPr="00F1075F">
        <w:t>translingual options across these phases, so</w:t>
      </w:r>
      <w:r w:rsidRPr="0060454D">
        <w:t xml:space="preserve"> that language shifts become part of a principled design for guiding meaning-making across languages.</w:t>
      </w:r>
    </w:p>
    <w:p w14:paraId="7AB7A225" w14:textId="4B9444C7" w:rsidR="00A87B74" w:rsidRDefault="00A87B74" w:rsidP="00000570">
      <w:r w:rsidRPr="00A87B74">
        <w:t xml:space="preserve">The system network </w:t>
      </w:r>
      <w:r w:rsidR="000C4887">
        <w:t xml:space="preserve">below </w:t>
      </w:r>
      <w:proofErr w:type="gramStart"/>
      <w:r w:rsidRPr="00A87B74">
        <w:t>models</w:t>
      </w:r>
      <w:proofErr w:type="gramEnd"/>
      <w:r w:rsidRPr="00A87B74">
        <w:t xml:space="preserve"> language-shift options available during teaching–learning exchanges. Sustain options involve significant use of one language during a discourse-semantic phase, while switch options involve movement between languages for specific pedagogic purposes.</w:t>
      </w:r>
    </w:p>
    <w:p w14:paraId="3C3991C1" w14:textId="50134077" w:rsidR="0060454D" w:rsidRDefault="0060454D" w:rsidP="003A21CF">
      <w:pPr>
        <w:jc w:val="center"/>
      </w:pPr>
      <w:r>
        <w:rPr>
          <w:noProof/>
        </w:rPr>
        <w:drawing>
          <wp:inline distT="0" distB="0" distL="0" distR="0" wp14:anchorId="23747C7B" wp14:editId="3C7E03D3">
            <wp:extent cx="5626100" cy="3098800"/>
            <wp:effectExtent l="0" t="0" r="0" b="0"/>
            <wp:docPr id="742009846" name="Picture 1" descr="A black and white image of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09846" name="Picture 1" descr="A black and white image of a black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26100" cy="3098800"/>
                    </a:xfrm>
                    <a:prstGeom prst="rect">
                      <a:avLst/>
                    </a:prstGeom>
                    <a:ln>
                      <a:noFill/>
                    </a:ln>
                  </pic:spPr>
                </pic:pic>
              </a:graphicData>
            </a:graphic>
          </wp:inline>
        </w:drawing>
      </w:r>
      <w:r>
        <w:br/>
      </w:r>
      <w:r w:rsidR="003A21CF">
        <w:t xml:space="preserve">             </w:t>
      </w:r>
      <w:r w:rsidR="003A21CF">
        <w:br/>
      </w:r>
      <w:r>
        <w:t>Figure 2. System Network for Translingual Teaching/Learning Exchanges</w:t>
      </w:r>
      <w:r w:rsidR="00B82444">
        <w:br/>
        <w:t>(Ramírez, in review)</w:t>
      </w:r>
    </w:p>
    <w:p w14:paraId="3932EB7F" w14:textId="77777777" w:rsidR="003F5A5E" w:rsidRDefault="003F5A5E" w:rsidP="00EC5DEA"/>
    <w:p w14:paraId="145B9D3A" w14:textId="4257B120" w:rsidR="00EC5DEA" w:rsidRDefault="00EC5DEA" w:rsidP="00EC5DEA">
      <w:r>
        <w:t xml:space="preserve">The table </w:t>
      </w:r>
      <w:r w:rsidR="00AD4A64">
        <w:t xml:space="preserve">below </w:t>
      </w:r>
      <w:r>
        <w:t>provides a description of each component in the system network, with examples of the two choices</w:t>
      </w:r>
      <w:r w:rsidR="00504642">
        <w:t>,</w:t>
      </w:r>
      <w:r>
        <w:t xml:space="preserve"> Switch and Sustain. Note the difference in the switch key between the “=” option that indicates concurrent translation, and the “+” option that indicates codeswitching as opposed to just translation. </w:t>
      </w:r>
    </w:p>
    <w:p w14:paraId="060B4F7B" w14:textId="77777777" w:rsidR="003F5A5E" w:rsidRDefault="003F5A5E" w:rsidP="00EC5DEA"/>
    <w:p w14:paraId="4B421CCD" w14:textId="77777777" w:rsidR="003F5A5E" w:rsidRDefault="003F5A5E" w:rsidP="00EC5DEA"/>
    <w:tbl>
      <w:tblPr>
        <w:tblStyle w:val="GridTable1Light"/>
        <w:tblW w:w="9535" w:type="dxa"/>
        <w:tblLook w:val="04A0" w:firstRow="1" w:lastRow="0" w:firstColumn="1" w:lastColumn="0" w:noHBand="0" w:noVBand="1"/>
      </w:tblPr>
      <w:tblGrid>
        <w:gridCol w:w="2605"/>
        <w:gridCol w:w="4230"/>
        <w:gridCol w:w="2700"/>
      </w:tblGrid>
      <w:tr w:rsidR="00EC5DEA" w:rsidRPr="00371BDD" w14:paraId="33B54908" w14:textId="77777777" w:rsidTr="00E528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19AB654E" w14:textId="77777777" w:rsidR="00EC5DEA" w:rsidRPr="00371BDD" w:rsidRDefault="00EC5DEA" w:rsidP="00E5287D">
            <w:pPr>
              <w:pStyle w:val="NormalWeb"/>
              <w:jc w:val="center"/>
              <w:rPr>
                <w:rFonts w:asciiTheme="minorHAnsi" w:hAnsiTheme="minorHAnsi" w:cstheme="minorHAnsi"/>
              </w:rPr>
            </w:pPr>
            <w:r w:rsidRPr="00371BDD">
              <w:rPr>
                <w:rFonts w:asciiTheme="minorHAnsi" w:hAnsiTheme="minorHAnsi" w:cstheme="minorHAnsi"/>
              </w:rPr>
              <w:lastRenderedPageBreak/>
              <w:t>Language Option</w:t>
            </w:r>
          </w:p>
        </w:tc>
        <w:tc>
          <w:tcPr>
            <w:tcW w:w="4230" w:type="dxa"/>
          </w:tcPr>
          <w:p w14:paraId="5F5A33C1" w14:textId="77777777" w:rsidR="00EC5DEA" w:rsidRPr="00371BDD" w:rsidRDefault="00EC5DEA" w:rsidP="00E5287D">
            <w:pPr>
              <w:pStyle w:val="NormalWeb"/>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371BDD">
              <w:rPr>
                <w:rFonts w:asciiTheme="minorHAnsi" w:hAnsiTheme="minorHAnsi" w:cstheme="minorHAnsi"/>
              </w:rPr>
              <w:t>Example</w:t>
            </w:r>
          </w:p>
        </w:tc>
        <w:tc>
          <w:tcPr>
            <w:tcW w:w="2700" w:type="dxa"/>
          </w:tcPr>
          <w:p w14:paraId="22806BD3" w14:textId="77777777" w:rsidR="00EC5DEA" w:rsidRPr="00371BDD" w:rsidRDefault="00EC5DEA" w:rsidP="00E5287D">
            <w:pPr>
              <w:pStyle w:val="NormalWeb"/>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Pr>
                <w:rFonts w:asciiTheme="minorHAnsi" w:hAnsiTheme="minorHAnsi" w:cstheme="minorHAnsi"/>
              </w:rPr>
              <w:t>Switch Key</w:t>
            </w:r>
          </w:p>
        </w:tc>
      </w:tr>
      <w:tr w:rsidR="00EC5DEA" w:rsidRPr="00BA02A8" w14:paraId="4D121059" w14:textId="77777777" w:rsidTr="00E5287D">
        <w:tc>
          <w:tcPr>
            <w:cnfStyle w:val="001000000000" w:firstRow="0" w:lastRow="0" w:firstColumn="1" w:lastColumn="0" w:oddVBand="0" w:evenVBand="0" w:oddHBand="0" w:evenHBand="0" w:firstRowFirstColumn="0" w:firstRowLastColumn="0" w:lastRowFirstColumn="0" w:lastRowLastColumn="0"/>
            <w:tcW w:w="2605" w:type="dxa"/>
          </w:tcPr>
          <w:p w14:paraId="4CBF8768" w14:textId="77777777" w:rsidR="00EC5DEA" w:rsidRPr="00BA02A8" w:rsidRDefault="00EC5DEA" w:rsidP="00E5287D">
            <w:pPr>
              <w:pStyle w:val="NormalWeb"/>
              <w:rPr>
                <w:rFonts w:asciiTheme="minorHAnsi" w:hAnsiTheme="minorHAnsi" w:cstheme="minorHAnsi"/>
                <w:sz w:val="20"/>
                <w:szCs w:val="20"/>
              </w:rPr>
            </w:pPr>
            <w:r w:rsidRPr="00BA02A8">
              <w:rPr>
                <w:rFonts w:asciiTheme="minorHAnsi" w:hAnsiTheme="minorHAnsi" w:cstheme="minorHAnsi"/>
                <w:sz w:val="20"/>
                <w:szCs w:val="20"/>
              </w:rPr>
              <w:t xml:space="preserve">First </w:t>
            </w:r>
            <w:r>
              <w:rPr>
                <w:rFonts w:asciiTheme="minorHAnsi" w:hAnsiTheme="minorHAnsi" w:cstheme="minorHAnsi"/>
                <w:sz w:val="20"/>
                <w:szCs w:val="20"/>
              </w:rPr>
              <w:t>with</w:t>
            </w:r>
            <w:r w:rsidRPr="00BA02A8">
              <w:rPr>
                <w:rFonts w:asciiTheme="minorHAnsi" w:hAnsiTheme="minorHAnsi" w:cstheme="minorHAnsi"/>
                <w:sz w:val="20"/>
                <w:szCs w:val="20"/>
              </w:rPr>
              <w:t xml:space="preserve"> Target </w:t>
            </w:r>
            <w:r>
              <w:rPr>
                <w:rFonts w:asciiTheme="minorHAnsi" w:hAnsiTheme="minorHAnsi" w:cstheme="minorHAnsi"/>
                <w:sz w:val="20"/>
                <w:szCs w:val="20"/>
              </w:rPr>
              <w:t>translation</w:t>
            </w:r>
          </w:p>
        </w:tc>
        <w:tc>
          <w:tcPr>
            <w:tcW w:w="4230" w:type="dxa"/>
          </w:tcPr>
          <w:p w14:paraId="6ABA6FE7" w14:textId="77777777" w:rsidR="00EC5DEA" w:rsidRPr="00AB1B7B"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iCs/>
                <w:sz w:val="20"/>
                <w:szCs w:val="20"/>
                <w:lang w:val="es-ES"/>
              </w:rPr>
            </w:pPr>
            <w:r w:rsidRPr="005B1D0C">
              <w:rPr>
                <w:rFonts w:asciiTheme="minorHAnsi" w:hAnsiTheme="minorHAnsi" w:cstheme="minorHAnsi"/>
                <w:i/>
                <w:iCs/>
                <w:sz w:val="20"/>
                <w:szCs w:val="20"/>
              </w:rPr>
              <w:t>“</w:t>
            </w:r>
            <w:r w:rsidRPr="00AB1B7B">
              <w:rPr>
                <w:rFonts w:asciiTheme="minorHAnsi" w:hAnsiTheme="minorHAnsi" w:cstheme="minorHAnsi"/>
                <w:i/>
                <w:iCs/>
                <w:sz w:val="20"/>
                <w:szCs w:val="20"/>
                <w:lang w:val="es-ES"/>
              </w:rPr>
              <w:t>¿Cuál</w:t>
            </w:r>
            <w:r w:rsidRPr="005B1D0C">
              <w:rPr>
                <w:rFonts w:asciiTheme="minorHAnsi" w:hAnsiTheme="minorHAnsi" w:cstheme="minorHAnsi"/>
                <w:i/>
                <w:iCs/>
                <w:sz w:val="20"/>
                <w:szCs w:val="20"/>
              </w:rPr>
              <w:t xml:space="preserve"> es la palabra? Which one is the word?”</w:t>
            </w:r>
            <w:r w:rsidRPr="005B1D0C">
              <w:rPr>
                <w:rFonts w:asciiTheme="minorHAnsi" w:hAnsiTheme="minorHAnsi" w:cstheme="minorHAnsi"/>
                <w:i/>
                <w:iCs/>
                <w:sz w:val="20"/>
                <w:szCs w:val="20"/>
              </w:rPr>
              <w:br/>
            </w:r>
          </w:p>
        </w:tc>
        <w:tc>
          <w:tcPr>
            <w:tcW w:w="2700" w:type="dxa"/>
          </w:tcPr>
          <w:p w14:paraId="0D63E9EE" w14:textId="77777777" w:rsidR="00EC5DEA" w:rsidRPr="005B1D0C"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iCs/>
                <w:sz w:val="20"/>
                <w:szCs w:val="20"/>
              </w:rPr>
            </w:pPr>
            <w:r w:rsidRPr="00BA02A8">
              <w:rPr>
                <w:rFonts w:asciiTheme="minorHAnsi" w:hAnsiTheme="minorHAnsi" w:cstheme="minorHAnsi"/>
                <w:b/>
                <w:bCs/>
                <w:sz w:val="20"/>
                <w:szCs w:val="20"/>
              </w:rPr>
              <w:t>F=T</w:t>
            </w:r>
            <w:r w:rsidRPr="00BA02A8">
              <w:rPr>
                <w:rFonts w:asciiTheme="minorHAnsi" w:hAnsiTheme="minorHAnsi" w:cstheme="minorHAnsi"/>
                <w:sz w:val="20"/>
                <w:szCs w:val="20"/>
              </w:rPr>
              <w:t xml:space="preserve"> </w:t>
            </w:r>
            <w:r>
              <w:rPr>
                <w:rFonts w:asciiTheme="minorHAnsi" w:hAnsiTheme="minorHAnsi" w:cstheme="minorHAnsi"/>
                <w:sz w:val="20"/>
                <w:szCs w:val="20"/>
              </w:rPr>
              <w:t>(</w:t>
            </w:r>
            <w:r w:rsidRPr="00BA02A8">
              <w:rPr>
                <w:rFonts w:asciiTheme="minorHAnsi" w:hAnsiTheme="minorHAnsi" w:cstheme="minorHAnsi"/>
                <w:sz w:val="20"/>
                <w:szCs w:val="20"/>
              </w:rPr>
              <w:t>translation from first</w:t>
            </w:r>
            <w:r>
              <w:rPr>
                <w:rFonts w:asciiTheme="minorHAnsi" w:hAnsiTheme="minorHAnsi" w:cstheme="minorHAnsi"/>
                <w:sz w:val="20"/>
                <w:szCs w:val="20"/>
              </w:rPr>
              <w:t>)</w:t>
            </w:r>
          </w:p>
        </w:tc>
      </w:tr>
      <w:tr w:rsidR="00EC5DEA" w:rsidRPr="00BA02A8" w14:paraId="43ADDBB0" w14:textId="77777777" w:rsidTr="00E5287D">
        <w:trPr>
          <w:trHeight w:val="269"/>
        </w:trPr>
        <w:tc>
          <w:tcPr>
            <w:cnfStyle w:val="001000000000" w:firstRow="0" w:lastRow="0" w:firstColumn="1" w:lastColumn="0" w:oddVBand="0" w:evenVBand="0" w:oddHBand="0" w:evenHBand="0" w:firstRowFirstColumn="0" w:firstRowLastColumn="0" w:lastRowFirstColumn="0" w:lastRowLastColumn="0"/>
            <w:tcW w:w="2605" w:type="dxa"/>
          </w:tcPr>
          <w:p w14:paraId="490A0BB6" w14:textId="77777777" w:rsidR="00EC5DEA" w:rsidRPr="00BA02A8" w:rsidRDefault="00EC5DEA" w:rsidP="00E5287D">
            <w:pPr>
              <w:pStyle w:val="NormalWeb"/>
              <w:rPr>
                <w:rFonts w:asciiTheme="minorHAnsi" w:hAnsiTheme="minorHAnsi" w:cstheme="minorHAnsi"/>
                <w:sz w:val="20"/>
                <w:szCs w:val="20"/>
              </w:rPr>
            </w:pPr>
            <w:r w:rsidRPr="00BA02A8">
              <w:rPr>
                <w:rFonts w:asciiTheme="minorHAnsi" w:hAnsiTheme="minorHAnsi" w:cstheme="minorHAnsi"/>
                <w:sz w:val="20"/>
                <w:szCs w:val="20"/>
              </w:rPr>
              <w:t xml:space="preserve">First plus Target </w:t>
            </w:r>
            <w:r w:rsidRPr="00BA02A8">
              <w:rPr>
                <w:rFonts w:asciiTheme="minorHAnsi" w:hAnsiTheme="minorHAnsi" w:cstheme="minorHAnsi"/>
                <w:sz w:val="20"/>
                <w:szCs w:val="20"/>
              </w:rPr>
              <w:tab/>
            </w:r>
          </w:p>
        </w:tc>
        <w:tc>
          <w:tcPr>
            <w:tcW w:w="4230" w:type="dxa"/>
          </w:tcPr>
          <w:p w14:paraId="217015BE" w14:textId="77777777" w:rsidR="00EC5DEA" w:rsidRPr="009E7AC0"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iCs/>
                <w:sz w:val="20"/>
                <w:szCs w:val="20"/>
              </w:rPr>
            </w:pPr>
            <w:r w:rsidRPr="009E7AC0">
              <w:rPr>
                <w:rFonts w:asciiTheme="minorHAnsi" w:hAnsiTheme="minorHAnsi" w:cstheme="minorHAnsi"/>
                <w:i/>
                <w:iCs/>
                <w:sz w:val="20"/>
                <w:szCs w:val="20"/>
              </w:rPr>
              <w:t>“</w:t>
            </w:r>
            <w:r w:rsidRPr="00AB1B7B">
              <w:rPr>
                <w:rFonts w:asciiTheme="minorHAnsi" w:hAnsiTheme="minorHAnsi" w:cstheme="minorHAnsi"/>
                <w:i/>
                <w:iCs/>
                <w:sz w:val="20"/>
                <w:szCs w:val="20"/>
                <w:lang w:val="es-ES"/>
              </w:rPr>
              <w:t>¿Cuál</w:t>
            </w:r>
            <w:r w:rsidRPr="005B1D0C">
              <w:rPr>
                <w:rFonts w:asciiTheme="minorHAnsi" w:hAnsiTheme="minorHAnsi" w:cstheme="minorHAnsi"/>
                <w:i/>
                <w:iCs/>
                <w:sz w:val="20"/>
                <w:szCs w:val="20"/>
              </w:rPr>
              <w:t xml:space="preserve"> </w:t>
            </w:r>
            <w:r w:rsidRPr="009E7AC0">
              <w:rPr>
                <w:rFonts w:asciiTheme="minorHAnsi" w:hAnsiTheme="minorHAnsi" w:cstheme="minorHAnsi"/>
                <w:i/>
                <w:iCs/>
                <w:sz w:val="20"/>
                <w:szCs w:val="20"/>
              </w:rPr>
              <w:t>es la palabra? Remember to look in the first sentence. [“Which one is the word? + English]</w:t>
            </w:r>
          </w:p>
        </w:tc>
        <w:tc>
          <w:tcPr>
            <w:tcW w:w="2700" w:type="dxa"/>
          </w:tcPr>
          <w:p w14:paraId="63FEDE95" w14:textId="77777777" w:rsidR="00EC5DEA" w:rsidRPr="009E7AC0"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iCs/>
                <w:sz w:val="20"/>
                <w:szCs w:val="20"/>
              </w:rPr>
            </w:pPr>
            <w:r w:rsidRPr="00BA02A8">
              <w:rPr>
                <w:rFonts w:asciiTheme="minorHAnsi" w:hAnsiTheme="minorHAnsi" w:cstheme="minorHAnsi"/>
                <w:b/>
                <w:bCs/>
                <w:sz w:val="20"/>
                <w:szCs w:val="20"/>
              </w:rPr>
              <w:t>F+T</w:t>
            </w:r>
            <w:r w:rsidRPr="00BA02A8">
              <w:rPr>
                <w:rFonts w:asciiTheme="minorHAnsi" w:hAnsiTheme="minorHAnsi" w:cstheme="minorHAnsi"/>
                <w:sz w:val="20"/>
                <w:szCs w:val="20"/>
              </w:rPr>
              <w:t xml:space="preserve"> (</w:t>
            </w:r>
            <w:r>
              <w:rPr>
                <w:rFonts w:asciiTheme="minorHAnsi" w:hAnsiTheme="minorHAnsi" w:cstheme="minorHAnsi"/>
                <w:sz w:val="20"/>
                <w:szCs w:val="20"/>
              </w:rPr>
              <w:t xml:space="preserve">language </w:t>
            </w:r>
            <w:r w:rsidRPr="00BA02A8">
              <w:rPr>
                <w:rFonts w:asciiTheme="minorHAnsi" w:hAnsiTheme="minorHAnsi" w:cstheme="minorHAnsi"/>
                <w:sz w:val="20"/>
                <w:szCs w:val="20"/>
              </w:rPr>
              <w:t>switch</w:t>
            </w:r>
            <w:r>
              <w:rPr>
                <w:rFonts w:asciiTheme="minorHAnsi" w:hAnsiTheme="minorHAnsi" w:cstheme="minorHAnsi"/>
                <w:sz w:val="20"/>
                <w:szCs w:val="20"/>
              </w:rPr>
              <w:t xml:space="preserve"> without</w:t>
            </w:r>
            <w:r w:rsidRPr="00BA02A8">
              <w:rPr>
                <w:rFonts w:asciiTheme="minorHAnsi" w:hAnsiTheme="minorHAnsi" w:cstheme="minorHAnsi"/>
                <w:sz w:val="20"/>
                <w:szCs w:val="20"/>
              </w:rPr>
              <w:t xml:space="preserve"> translation)</w:t>
            </w:r>
          </w:p>
        </w:tc>
      </w:tr>
      <w:tr w:rsidR="00EC5DEA" w:rsidRPr="00BA02A8" w14:paraId="373DCB2D" w14:textId="77777777" w:rsidTr="00E5287D">
        <w:tc>
          <w:tcPr>
            <w:cnfStyle w:val="001000000000" w:firstRow="0" w:lastRow="0" w:firstColumn="1" w:lastColumn="0" w:oddVBand="0" w:evenVBand="0" w:oddHBand="0" w:evenHBand="0" w:firstRowFirstColumn="0" w:firstRowLastColumn="0" w:lastRowFirstColumn="0" w:lastRowLastColumn="0"/>
            <w:tcW w:w="2605" w:type="dxa"/>
          </w:tcPr>
          <w:p w14:paraId="7FD1B571" w14:textId="77777777" w:rsidR="00EC5DEA" w:rsidRPr="00BA02A8" w:rsidRDefault="00EC5DEA" w:rsidP="00E5287D">
            <w:pPr>
              <w:pStyle w:val="NormalWeb"/>
              <w:rPr>
                <w:rFonts w:asciiTheme="minorHAnsi" w:hAnsiTheme="minorHAnsi" w:cstheme="minorHAnsi"/>
                <w:sz w:val="20"/>
                <w:szCs w:val="20"/>
              </w:rPr>
            </w:pPr>
            <w:r w:rsidRPr="00BA02A8">
              <w:rPr>
                <w:rFonts w:asciiTheme="minorHAnsi" w:hAnsiTheme="minorHAnsi" w:cstheme="minorHAnsi"/>
                <w:sz w:val="20"/>
                <w:szCs w:val="20"/>
              </w:rPr>
              <w:t xml:space="preserve">Target </w:t>
            </w:r>
            <w:r>
              <w:rPr>
                <w:rFonts w:asciiTheme="minorHAnsi" w:hAnsiTheme="minorHAnsi" w:cstheme="minorHAnsi"/>
                <w:sz w:val="20"/>
                <w:szCs w:val="20"/>
              </w:rPr>
              <w:t>with translation</w:t>
            </w:r>
            <w:r w:rsidRPr="00BA02A8">
              <w:rPr>
                <w:rFonts w:asciiTheme="minorHAnsi" w:hAnsiTheme="minorHAnsi" w:cstheme="minorHAnsi"/>
                <w:sz w:val="20"/>
                <w:szCs w:val="20"/>
              </w:rPr>
              <w:t xml:space="preserve"> </w:t>
            </w:r>
            <w:r>
              <w:rPr>
                <w:rFonts w:asciiTheme="minorHAnsi" w:hAnsiTheme="minorHAnsi" w:cstheme="minorHAnsi"/>
                <w:sz w:val="20"/>
                <w:szCs w:val="20"/>
              </w:rPr>
              <w:t xml:space="preserve">in </w:t>
            </w:r>
            <w:r w:rsidRPr="00BA02A8">
              <w:rPr>
                <w:rFonts w:asciiTheme="minorHAnsi" w:hAnsiTheme="minorHAnsi" w:cstheme="minorHAnsi"/>
                <w:sz w:val="20"/>
                <w:szCs w:val="20"/>
              </w:rPr>
              <w:t>First</w:t>
            </w:r>
          </w:p>
        </w:tc>
        <w:tc>
          <w:tcPr>
            <w:tcW w:w="4230" w:type="dxa"/>
          </w:tcPr>
          <w:p w14:paraId="2B2AAD55" w14:textId="77777777" w:rsidR="00EC5DEA" w:rsidRPr="004E2611"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4E2611">
              <w:rPr>
                <w:rFonts w:asciiTheme="minorHAnsi" w:hAnsiTheme="minorHAnsi" w:cstheme="minorHAnsi"/>
                <w:sz w:val="20"/>
                <w:szCs w:val="20"/>
              </w:rPr>
              <w:t xml:space="preserve">Which one is the word? </w:t>
            </w:r>
            <w:r w:rsidRPr="00AB1B7B">
              <w:rPr>
                <w:rFonts w:asciiTheme="minorHAnsi" w:hAnsiTheme="minorHAnsi" w:cstheme="minorHAnsi"/>
                <w:i/>
                <w:iCs/>
                <w:sz w:val="20"/>
                <w:szCs w:val="20"/>
                <w:lang w:val="es-ES"/>
              </w:rPr>
              <w:t>¿Cuál</w:t>
            </w:r>
            <w:r w:rsidRPr="004E2611">
              <w:rPr>
                <w:rFonts w:asciiTheme="minorHAnsi" w:hAnsiTheme="minorHAnsi" w:cstheme="minorHAnsi"/>
                <w:sz w:val="20"/>
                <w:szCs w:val="20"/>
              </w:rPr>
              <w:t xml:space="preserve"> es la palabra? </w:t>
            </w:r>
            <w:r>
              <w:rPr>
                <w:rFonts w:asciiTheme="minorHAnsi" w:hAnsiTheme="minorHAnsi" w:cstheme="minorHAnsi"/>
                <w:sz w:val="20"/>
                <w:szCs w:val="20"/>
              </w:rPr>
              <w:br/>
              <w:t>[English = Which one is the word]</w:t>
            </w:r>
          </w:p>
        </w:tc>
        <w:tc>
          <w:tcPr>
            <w:tcW w:w="2700" w:type="dxa"/>
          </w:tcPr>
          <w:p w14:paraId="1F486455" w14:textId="77777777" w:rsidR="00EC5DEA" w:rsidRPr="004E2611"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BA02A8">
              <w:rPr>
                <w:rFonts w:asciiTheme="minorHAnsi" w:hAnsiTheme="minorHAnsi" w:cstheme="minorHAnsi"/>
                <w:b/>
                <w:bCs/>
                <w:sz w:val="20"/>
                <w:szCs w:val="20"/>
              </w:rPr>
              <w:t>T=F</w:t>
            </w:r>
            <w:r w:rsidRPr="00BA02A8">
              <w:rPr>
                <w:rFonts w:asciiTheme="minorHAnsi" w:hAnsiTheme="minorHAnsi" w:cstheme="minorHAnsi"/>
                <w:sz w:val="20"/>
                <w:szCs w:val="20"/>
              </w:rPr>
              <w:t xml:space="preserve"> (translation from target)</w:t>
            </w:r>
          </w:p>
        </w:tc>
      </w:tr>
      <w:tr w:rsidR="00EC5DEA" w:rsidRPr="00BA02A8" w14:paraId="2FCEC892" w14:textId="77777777" w:rsidTr="00E5287D">
        <w:tc>
          <w:tcPr>
            <w:cnfStyle w:val="001000000000" w:firstRow="0" w:lastRow="0" w:firstColumn="1" w:lastColumn="0" w:oddVBand="0" w:evenVBand="0" w:oddHBand="0" w:evenHBand="0" w:firstRowFirstColumn="0" w:firstRowLastColumn="0" w:lastRowFirstColumn="0" w:lastRowLastColumn="0"/>
            <w:tcW w:w="2605" w:type="dxa"/>
          </w:tcPr>
          <w:p w14:paraId="58A83CF6" w14:textId="77777777" w:rsidR="00EC5DEA" w:rsidRPr="00BA02A8" w:rsidRDefault="00EC5DEA" w:rsidP="00E5287D">
            <w:pPr>
              <w:pStyle w:val="NormalWeb"/>
              <w:rPr>
                <w:rFonts w:asciiTheme="minorHAnsi" w:hAnsiTheme="minorHAnsi" w:cstheme="minorHAnsi"/>
                <w:sz w:val="20"/>
                <w:szCs w:val="20"/>
              </w:rPr>
            </w:pPr>
            <w:r w:rsidRPr="00BA02A8">
              <w:rPr>
                <w:rFonts w:asciiTheme="minorHAnsi" w:hAnsiTheme="minorHAnsi" w:cstheme="minorHAnsi"/>
                <w:sz w:val="20"/>
                <w:szCs w:val="20"/>
              </w:rPr>
              <w:t xml:space="preserve">Target plus First </w:t>
            </w:r>
            <w:r w:rsidRPr="00BA02A8">
              <w:rPr>
                <w:rFonts w:asciiTheme="minorHAnsi" w:hAnsiTheme="minorHAnsi" w:cstheme="minorHAnsi"/>
                <w:sz w:val="20"/>
                <w:szCs w:val="20"/>
              </w:rPr>
              <w:tab/>
            </w:r>
          </w:p>
        </w:tc>
        <w:tc>
          <w:tcPr>
            <w:tcW w:w="4230" w:type="dxa"/>
          </w:tcPr>
          <w:p w14:paraId="49378B60" w14:textId="77777777" w:rsidR="00EC5DEA" w:rsidRPr="00BA02A8"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szCs w:val="20"/>
              </w:rPr>
            </w:pPr>
            <w:r w:rsidRPr="009E7AC0">
              <w:rPr>
                <w:rFonts w:asciiTheme="minorHAnsi" w:hAnsiTheme="minorHAnsi" w:cstheme="minorHAnsi"/>
                <w:i/>
                <w:iCs/>
                <w:sz w:val="20"/>
                <w:szCs w:val="20"/>
              </w:rPr>
              <w:t>Remember to look in the first sentence. “</w:t>
            </w:r>
            <w:r w:rsidRPr="00AB1B7B">
              <w:rPr>
                <w:rFonts w:asciiTheme="minorHAnsi" w:hAnsiTheme="minorHAnsi" w:cstheme="minorHAnsi"/>
                <w:i/>
                <w:iCs/>
                <w:sz w:val="20"/>
                <w:szCs w:val="20"/>
                <w:lang w:val="es-ES"/>
              </w:rPr>
              <w:t>¿Cuál</w:t>
            </w:r>
            <w:r w:rsidRPr="009E7AC0">
              <w:rPr>
                <w:rFonts w:asciiTheme="minorHAnsi" w:hAnsiTheme="minorHAnsi" w:cstheme="minorHAnsi"/>
                <w:i/>
                <w:iCs/>
                <w:sz w:val="20"/>
                <w:szCs w:val="20"/>
              </w:rPr>
              <w:t xml:space="preserve"> es la palabra?</w:t>
            </w:r>
            <w:r>
              <w:rPr>
                <w:rFonts w:asciiTheme="minorHAnsi" w:hAnsiTheme="minorHAnsi" w:cstheme="minorHAnsi"/>
                <w:i/>
                <w:iCs/>
                <w:sz w:val="20"/>
                <w:szCs w:val="20"/>
              </w:rPr>
              <w:t>”</w:t>
            </w:r>
            <w:r w:rsidRPr="009E7AC0">
              <w:rPr>
                <w:rFonts w:asciiTheme="minorHAnsi" w:hAnsiTheme="minorHAnsi" w:cstheme="minorHAnsi"/>
                <w:i/>
                <w:iCs/>
                <w:sz w:val="20"/>
                <w:szCs w:val="20"/>
              </w:rPr>
              <w:t xml:space="preserve">  [English</w:t>
            </w:r>
            <w:r>
              <w:rPr>
                <w:rFonts w:asciiTheme="minorHAnsi" w:hAnsiTheme="minorHAnsi" w:cstheme="minorHAnsi"/>
                <w:i/>
                <w:iCs/>
                <w:sz w:val="20"/>
                <w:szCs w:val="20"/>
              </w:rPr>
              <w:t xml:space="preserve"> + </w:t>
            </w:r>
            <w:r w:rsidRPr="009E7AC0">
              <w:rPr>
                <w:rFonts w:asciiTheme="minorHAnsi" w:hAnsiTheme="minorHAnsi" w:cstheme="minorHAnsi"/>
                <w:i/>
                <w:iCs/>
                <w:sz w:val="20"/>
                <w:szCs w:val="20"/>
              </w:rPr>
              <w:t>“Which one is the word?]</w:t>
            </w:r>
          </w:p>
        </w:tc>
        <w:tc>
          <w:tcPr>
            <w:tcW w:w="2700" w:type="dxa"/>
          </w:tcPr>
          <w:p w14:paraId="72EAABD4" w14:textId="77777777" w:rsidR="00EC5DEA" w:rsidRPr="009E7AC0"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iCs/>
                <w:sz w:val="20"/>
                <w:szCs w:val="20"/>
              </w:rPr>
            </w:pPr>
            <w:r w:rsidRPr="00BA02A8">
              <w:rPr>
                <w:rFonts w:asciiTheme="minorHAnsi" w:hAnsiTheme="minorHAnsi" w:cstheme="minorHAnsi"/>
                <w:b/>
                <w:bCs/>
                <w:sz w:val="20"/>
                <w:szCs w:val="20"/>
              </w:rPr>
              <w:t>T+F</w:t>
            </w:r>
            <w:r w:rsidRPr="00BA02A8">
              <w:rPr>
                <w:rFonts w:asciiTheme="minorHAnsi" w:hAnsiTheme="minorHAnsi" w:cstheme="minorHAnsi"/>
                <w:sz w:val="20"/>
                <w:szCs w:val="20"/>
              </w:rPr>
              <w:t xml:space="preserve"> (</w:t>
            </w:r>
            <w:r>
              <w:rPr>
                <w:rFonts w:asciiTheme="minorHAnsi" w:hAnsiTheme="minorHAnsi" w:cstheme="minorHAnsi"/>
                <w:sz w:val="20"/>
                <w:szCs w:val="20"/>
              </w:rPr>
              <w:t xml:space="preserve">language </w:t>
            </w:r>
            <w:r w:rsidRPr="00BA02A8">
              <w:rPr>
                <w:rFonts w:asciiTheme="minorHAnsi" w:hAnsiTheme="minorHAnsi" w:cstheme="minorHAnsi"/>
                <w:sz w:val="20"/>
                <w:szCs w:val="20"/>
              </w:rPr>
              <w:t xml:space="preserve">switch </w:t>
            </w:r>
            <w:r>
              <w:rPr>
                <w:rFonts w:asciiTheme="minorHAnsi" w:hAnsiTheme="minorHAnsi" w:cstheme="minorHAnsi"/>
                <w:sz w:val="20"/>
                <w:szCs w:val="20"/>
              </w:rPr>
              <w:t xml:space="preserve">without </w:t>
            </w:r>
            <w:r w:rsidRPr="00BA02A8">
              <w:rPr>
                <w:rFonts w:asciiTheme="minorHAnsi" w:hAnsiTheme="minorHAnsi" w:cstheme="minorHAnsi"/>
                <w:sz w:val="20"/>
                <w:szCs w:val="20"/>
              </w:rPr>
              <w:t>translation)</w:t>
            </w:r>
          </w:p>
        </w:tc>
      </w:tr>
      <w:tr w:rsidR="00EC5DEA" w:rsidRPr="00BA02A8" w14:paraId="3B38B942" w14:textId="77777777" w:rsidTr="00E5287D">
        <w:tc>
          <w:tcPr>
            <w:cnfStyle w:val="001000000000" w:firstRow="0" w:lastRow="0" w:firstColumn="1" w:lastColumn="0" w:oddVBand="0" w:evenVBand="0" w:oddHBand="0" w:evenHBand="0" w:firstRowFirstColumn="0" w:firstRowLastColumn="0" w:lastRowFirstColumn="0" w:lastRowLastColumn="0"/>
            <w:tcW w:w="2605" w:type="dxa"/>
          </w:tcPr>
          <w:p w14:paraId="2AF159BD" w14:textId="77777777" w:rsidR="00EC5DEA" w:rsidRPr="00BA02A8" w:rsidRDefault="00EC5DEA" w:rsidP="00E5287D">
            <w:pPr>
              <w:pStyle w:val="NormalWeb"/>
              <w:rPr>
                <w:rFonts w:asciiTheme="minorHAnsi" w:hAnsiTheme="minorHAnsi" w:cstheme="minorHAnsi"/>
                <w:sz w:val="20"/>
                <w:szCs w:val="20"/>
              </w:rPr>
            </w:pPr>
            <w:r>
              <w:rPr>
                <w:rFonts w:asciiTheme="minorHAnsi" w:hAnsiTheme="minorHAnsi" w:cstheme="minorHAnsi"/>
                <w:sz w:val="20"/>
                <w:szCs w:val="20"/>
              </w:rPr>
              <w:t xml:space="preserve">Sustain in Target </w:t>
            </w:r>
          </w:p>
        </w:tc>
        <w:tc>
          <w:tcPr>
            <w:tcW w:w="4230" w:type="dxa"/>
          </w:tcPr>
          <w:p w14:paraId="080C7331" w14:textId="77777777" w:rsidR="00EC5DEA" w:rsidRPr="00C71A8F"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iCs/>
                <w:sz w:val="20"/>
                <w:szCs w:val="20"/>
              </w:rPr>
            </w:pPr>
            <w:r>
              <w:rPr>
                <w:rFonts w:asciiTheme="minorHAnsi" w:hAnsiTheme="minorHAnsi" w:cstheme="minorHAnsi"/>
                <w:i/>
                <w:iCs/>
                <w:sz w:val="20"/>
                <w:szCs w:val="20"/>
              </w:rPr>
              <w:t>“This word is located in the first part of the sentence, and it tells us where this person lives”</w:t>
            </w:r>
          </w:p>
        </w:tc>
        <w:tc>
          <w:tcPr>
            <w:tcW w:w="2700" w:type="dxa"/>
          </w:tcPr>
          <w:p w14:paraId="60ABD5DF" w14:textId="77777777" w:rsidR="00EC5DEA" w:rsidRPr="00BA02A8"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szCs w:val="20"/>
              </w:rPr>
            </w:pPr>
            <w:r>
              <w:rPr>
                <w:rFonts w:asciiTheme="minorHAnsi" w:hAnsiTheme="minorHAnsi" w:cstheme="minorHAnsi"/>
                <w:b/>
                <w:bCs/>
                <w:sz w:val="20"/>
                <w:szCs w:val="20"/>
              </w:rPr>
              <w:t xml:space="preserve">T </w:t>
            </w:r>
            <w:r w:rsidRPr="001F1D03">
              <w:rPr>
                <w:rFonts w:asciiTheme="minorHAnsi" w:hAnsiTheme="minorHAnsi" w:cstheme="minorHAnsi"/>
                <w:sz w:val="20"/>
                <w:szCs w:val="20"/>
              </w:rPr>
              <w:t xml:space="preserve">(maintains </w:t>
            </w:r>
            <w:r>
              <w:rPr>
                <w:rFonts w:asciiTheme="minorHAnsi" w:hAnsiTheme="minorHAnsi" w:cstheme="minorHAnsi"/>
                <w:sz w:val="20"/>
                <w:szCs w:val="20"/>
              </w:rPr>
              <w:t>exchange</w:t>
            </w:r>
            <w:r w:rsidRPr="001F1D03">
              <w:rPr>
                <w:rFonts w:asciiTheme="minorHAnsi" w:hAnsiTheme="minorHAnsi" w:cstheme="minorHAnsi"/>
                <w:sz w:val="20"/>
                <w:szCs w:val="20"/>
              </w:rPr>
              <w:t xml:space="preserve"> in target)</w:t>
            </w:r>
          </w:p>
        </w:tc>
      </w:tr>
      <w:tr w:rsidR="00EC5DEA" w:rsidRPr="00BA02A8" w14:paraId="635CCE0A" w14:textId="77777777" w:rsidTr="00E5287D">
        <w:tc>
          <w:tcPr>
            <w:cnfStyle w:val="001000000000" w:firstRow="0" w:lastRow="0" w:firstColumn="1" w:lastColumn="0" w:oddVBand="0" w:evenVBand="0" w:oddHBand="0" w:evenHBand="0" w:firstRowFirstColumn="0" w:firstRowLastColumn="0" w:lastRowFirstColumn="0" w:lastRowLastColumn="0"/>
            <w:tcW w:w="2605" w:type="dxa"/>
          </w:tcPr>
          <w:p w14:paraId="0A27EC60" w14:textId="77777777" w:rsidR="00EC5DEA" w:rsidRDefault="00EC5DEA" w:rsidP="00E5287D">
            <w:pPr>
              <w:pStyle w:val="NormalWeb"/>
              <w:rPr>
                <w:rFonts w:asciiTheme="minorHAnsi" w:hAnsiTheme="minorHAnsi" w:cstheme="minorHAnsi"/>
                <w:b w:val="0"/>
                <w:bCs w:val="0"/>
                <w:sz w:val="20"/>
                <w:szCs w:val="20"/>
              </w:rPr>
            </w:pPr>
          </w:p>
          <w:p w14:paraId="38A3D8B8" w14:textId="77777777" w:rsidR="00EC5DEA" w:rsidRPr="00BA02A8" w:rsidRDefault="00EC5DEA" w:rsidP="00E5287D">
            <w:pPr>
              <w:pStyle w:val="NormalWeb"/>
              <w:rPr>
                <w:rFonts w:asciiTheme="minorHAnsi" w:hAnsiTheme="minorHAnsi" w:cstheme="minorHAnsi"/>
                <w:sz w:val="20"/>
                <w:szCs w:val="20"/>
              </w:rPr>
            </w:pPr>
            <w:r>
              <w:rPr>
                <w:rFonts w:asciiTheme="minorHAnsi" w:hAnsiTheme="minorHAnsi" w:cstheme="minorHAnsi"/>
                <w:sz w:val="20"/>
                <w:szCs w:val="20"/>
              </w:rPr>
              <w:t>Sustain in First</w:t>
            </w:r>
          </w:p>
        </w:tc>
        <w:tc>
          <w:tcPr>
            <w:tcW w:w="4230" w:type="dxa"/>
          </w:tcPr>
          <w:p w14:paraId="00BDED61" w14:textId="77777777" w:rsidR="00EC5DEA" w:rsidRPr="009E7AC0"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iCs/>
                <w:sz w:val="20"/>
                <w:szCs w:val="20"/>
              </w:rPr>
            </w:pPr>
            <w:r>
              <w:rPr>
                <w:rFonts w:asciiTheme="minorHAnsi" w:hAnsiTheme="minorHAnsi" w:cstheme="minorHAnsi"/>
                <w:i/>
                <w:iCs/>
                <w:sz w:val="20"/>
                <w:szCs w:val="20"/>
              </w:rPr>
              <w:t xml:space="preserve">“Esta palabra </w:t>
            </w:r>
            <w:proofErr w:type="spellStart"/>
            <w:r>
              <w:rPr>
                <w:rFonts w:asciiTheme="minorHAnsi" w:hAnsiTheme="minorHAnsi" w:cstheme="minorHAnsi"/>
                <w:i/>
                <w:iCs/>
                <w:sz w:val="20"/>
                <w:szCs w:val="20"/>
              </w:rPr>
              <w:t>esta</w:t>
            </w:r>
            <w:proofErr w:type="spellEnd"/>
            <w:r>
              <w:rPr>
                <w:rFonts w:asciiTheme="minorHAnsi" w:hAnsiTheme="minorHAnsi" w:cstheme="minorHAnsi"/>
                <w:i/>
                <w:iCs/>
                <w:sz w:val="20"/>
                <w:szCs w:val="20"/>
              </w:rPr>
              <w:t xml:space="preserve"> al principio de la oración y nos dice que hace </w:t>
            </w:r>
            <w:proofErr w:type="spellStart"/>
            <w:r>
              <w:rPr>
                <w:rFonts w:asciiTheme="minorHAnsi" w:hAnsiTheme="minorHAnsi" w:cstheme="minorHAnsi"/>
                <w:i/>
                <w:iCs/>
                <w:sz w:val="20"/>
                <w:szCs w:val="20"/>
              </w:rPr>
              <w:t>esta</w:t>
            </w:r>
            <w:proofErr w:type="spellEnd"/>
            <w:r>
              <w:rPr>
                <w:rFonts w:asciiTheme="minorHAnsi" w:hAnsiTheme="minorHAnsi" w:cstheme="minorHAnsi"/>
                <w:i/>
                <w:iCs/>
                <w:sz w:val="20"/>
                <w:szCs w:val="20"/>
              </w:rPr>
              <w:t xml:space="preserve"> persona en </w:t>
            </w:r>
            <w:proofErr w:type="spellStart"/>
            <w:r>
              <w:rPr>
                <w:rFonts w:asciiTheme="minorHAnsi" w:hAnsiTheme="minorHAnsi" w:cstheme="minorHAnsi"/>
                <w:i/>
                <w:iCs/>
                <w:sz w:val="20"/>
                <w:szCs w:val="20"/>
              </w:rPr>
              <w:t>este</w:t>
            </w:r>
            <w:proofErr w:type="spellEnd"/>
            <w:r>
              <w:rPr>
                <w:rFonts w:asciiTheme="minorHAnsi" w:hAnsiTheme="minorHAnsi" w:cstheme="minorHAnsi"/>
                <w:i/>
                <w:iCs/>
                <w:sz w:val="20"/>
                <w:szCs w:val="20"/>
              </w:rPr>
              <w:t xml:space="preserve"> club </w:t>
            </w:r>
            <w:proofErr w:type="spellStart"/>
            <w:r>
              <w:rPr>
                <w:rFonts w:asciiTheme="minorHAnsi" w:hAnsiTheme="minorHAnsi" w:cstheme="minorHAnsi"/>
                <w:i/>
                <w:iCs/>
                <w:sz w:val="20"/>
                <w:szCs w:val="20"/>
              </w:rPr>
              <w:t>deportivo</w:t>
            </w:r>
            <w:proofErr w:type="spellEnd"/>
            <w:r>
              <w:rPr>
                <w:rFonts w:asciiTheme="minorHAnsi" w:hAnsiTheme="minorHAnsi" w:cstheme="minorHAnsi"/>
                <w:i/>
                <w:iCs/>
                <w:sz w:val="20"/>
                <w:szCs w:val="20"/>
              </w:rPr>
              <w:t>”</w:t>
            </w:r>
            <w:r>
              <w:rPr>
                <w:rFonts w:asciiTheme="minorHAnsi" w:hAnsiTheme="minorHAnsi" w:cstheme="minorHAnsi"/>
                <w:i/>
                <w:iCs/>
                <w:sz w:val="20"/>
                <w:szCs w:val="20"/>
              </w:rPr>
              <w:br/>
              <w:t>[This word is located at the beginning of the sentence and tells us what this person does in that sports club].</w:t>
            </w:r>
          </w:p>
        </w:tc>
        <w:tc>
          <w:tcPr>
            <w:tcW w:w="2700" w:type="dxa"/>
          </w:tcPr>
          <w:p w14:paraId="1148503F" w14:textId="77777777" w:rsidR="00EC5DEA"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szCs w:val="20"/>
              </w:rPr>
            </w:pPr>
          </w:p>
          <w:p w14:paraId="1E3B4899" w14:textId="77777777" w:rsidR="00EC5DEA" w:rsidRPr="00BA02A8" w:rsidRDefault="00EC5DEA" w:rsidP="00E5287D">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szCs w:val="20"/>
              </w:rPr>
            </w:pPr>
            <w:r>
              <w:rPr>
                <w:rFonts w:asciiTheme="minorHAnsi" w:hAnsiTheme="minorHAnsi" w:cstheme="minorHAnsi"/>
                <w:b/>
                <w:bCs/>
                <w:sz w:val="20"/>
                <w:szCs w:val="20"/>
              </w:rPr>
              <w:t xml:space="preserve">F </w:t>
            </w:r>
            <w:r w:rsidRPr="001F1D03">
              <w:rPr>
                <w:rFonts w:asciiTheme="minorHAnsi" w:hAnsiTheme="minorHAnsi" w:cstheme="minorHAnsi"/>
                <w:sz w:val="20"/>
                <w:szCs w:val="20"/>
              </w:rPr>
              <w:t xml:space="preserve">(maintains </w:t>
            </w:r>
            <w:r>
              <w:rPr>
                <w:rFonts w:asciiTheme="minorHAnsi" w:hAnsiTheme="minorHAnsi" w:cstheme="minorHAnsi"/>
                <w:sz w:val="20"/>
                <w:szCs w:val="20"/>
              </w:rPr>
              <w:t>exchange</w:t>
            </w:r>
            <w:r w:rsidRPr="001F1D03">
              <w:rPr>
                <w:rFonts w:asciiTheme="minorHAnsi" w:hAnsiTheme="minorHAnsi" w:cstheme="minorHAnsi"/>
                <w:sz w:val="20"/>
                <w:szCs w:val="20"/>
              </w:rPr>
              <w:t xml:space="preserve"> in </w:t>
            </w:r>
            <w:r>
              <w:rPr>
                <w:rFonts w:asciiTheme="minorHAnsi" w:hAnsiTheme="minorHAnsi" w:cstheme="minorHAnsi"/>
                <w:sz w:val="20"/>
                <w:szCs w:val="20"/>
              </w:rPr>
              <w:t>first</w:t>
            </w:r>
            <w:r w:rsidRPr="001F1D03">
              <w:rPr>
                <w:rFonts w:asciiTheme="minorHAnsi" w:hAnsiTheme="minorHAnsi" w:cstheme="minorHAnsi"/>
                <w:sz w:val="20"/>
                <w:szCs w:val="20"/>
              </w:rPr>
              <w:t>)</w:t>
            </w:r>
          </w:p>
        </w:tc>
      </w:tr>
    </w:tbl>
    <w:p w14:paraId="7A593D85" w14:textId="77777777" w:rsidR="00EC5DEA" w:rsidRDefault="00EC5DEA" w:rsidP="00EC5DEA">
      <w:pPr>
        <w:jc w:val="center"/>
      </w:pPr>
      <w:r>
        <w:br/>
        <w:t>Table 3. Language Shift Options, Examples and Key</w:t>
      </w:r>
    </w:p>
    <w:p w14:paraId="7304A5DA" w14:textId="07147815" w:rsidR="00EC5DEA" w:rsidRPr="000723EF" w:rsidRDefault="000723EF" w:rsidP="00C1504B">
      <w:r>
        <w:t xml:space="preserve">To illustrate even further, we will show classroom examples </w:t>
      </w:r>
      <w:r w:rsidR="006D0DFE">
        <w:t xml:space="preserve">of the Sustain option first, followed by the Switch option. </w:t>
      </w:r>
    </w:p>
    <w:p w14:paraId="1C6BE589" w14:textId="77777777" w:rsidR="003F5A5E" w:rsidRDefault="003F5A5E" w:rsidP="00C1504B">
      <w:pPr>
        <w:rPr>
          <w:b/>
          <w:bCs/>
          <w:i/>
          <w:iCs/>
        </w:rPr>
      </w:pPr>
    </w:p>
    <w:p w14:paraId="3E42D32B" w14:textId="7AF4CD10" w:rsidR="0060454D" w:rsidRPr="00C1504B" w:rsidRDefault="00C1504B" w:rsidP="00C1504B">
      <w:pPr>
        <w:rPr>
          <w:b/>
          <w:bCs/>
          <w:i/>
          <w:iCs/>
        </w:rPr>
      </w:pPr>
      <w:r w:rsidRPr="00C1504B">
        <w:rPr>
          <w:b/>
          <w:bCs/>
          <w:i/>
          <w:iCs/>
        </w:rPr>
        <w:t>Sustain</w:t>
      </w:r>
    </w:p>
    <w:p w14:paraId="47E7216D" w14:textId="2A874937" w:rsidR="005C5719" w:rsidRPr="000C5633" w:rsidRDefault="0075195D" w:rsidP="000C5633">
      <w:r>
        <w:t>The sustain option</w:t>
      </w:r>
      <w:r w:rsidR="00175741">
        <w:t xml:space="preserve"> </w:t>
      </w:r>
      <w:r w:rsidR="006D0DFE">
        <w:t>refers to</w:t>
      </w:r>
      <w:r>
        <w:t xml:space="preserve"> the continuous use of either L1 or L2 during </w:t>
      </w:r>
      <w:r w:rsidR="000D3511">
        <w:t xml:space="preserve">a </w:t>
      </w:r>
      <w:r w:rsidR="00807AFE">
        <w:t xml:space="preserve">nuclear or marginal R2L </w:t>
      </w:r>
      <w:r>
        <w:t xml:space="preserve">phase. </w:t>
      </w:r>
      <w:r w:rsidR="000C5633">
        <w:t>The following classroom example illustrates the sustain option in the prepare and focus marginal phases. The interaction is summarized schematically as (F ^ T ^ F)</w:t>
      </w:r>
      <w:r w:rsidR="00B52557">
        <w:t>,</w:t>
      </w:r>
      <w:r w:rsidR="000C5633">
        <w:t xml:space="preserve"> where F stands for sustain in </w:t>
      </w:r>
      <w:r w:rsidR="000C5633" w:rsidRPr="000C5633">
        <w:rPr>
          <w:i/>
          <w:iCs/>
        </w:rPr>
        <w:t>first</w:t>
      </w:r>
      <w:r w:rsidR="000C5633">
        <w:rPr>
          <w:i/>
          <w:iCs/>
        </w:rPr>
        <w:t xml:space="preserve"> </w:t>
      </w:r>
      <w:r w:rsidR="000C5633" w:rsidRPr="000C5633">
        <w:t>(during the Prepare cycle)</w:t>
      </w:r>
      <w:r w:rsidR="000C5633">
        <w:t xml:space="preserve">, T stands for </w:t>
      </w:r>
      <w:r w:rsidR="000C5633" w:rsidRPr="000C5633">
        <w:t xml:space="preserve">sustain in </w:t>
      </w:r>
      <w:r w:rsidR="000C5633" w:rsidRPr="000C5633">
        <w:rPr>
          <w:i/>
          <w:iCs/>
        </w:rPr>
        <w:t>target</w:t>
      </w:r>
      <w:r w:rsidR="000C5633">
        <w:t xml:space="preserve"> (also during the Prepare cycle), F stands for </w:t>
      </w:r>
      <w:r w:rsidR="000C5633" w:rsidRPr="000C5633">
        <w:rPr>
          <w:i/>
          <w:iCs/>
        </w:rPr>
        <w:t xml:space="preserve">sustain in first </w:t>
      </w:r>
      <w:r w:rsidR="000C5633" w:rsidRPr="00794A96">
        <w:t>again</w:t>
      </w:r>
      <w:r w:rsidR="000C5633">
        <w:t xml:space="preserve"> (but this time during the Focus cycle), and ^ means followed by. The interaction below should be read as “Sustain in first, followed by Sustained in target, followed by sustain in first.</w:t>
      </w:r>
      <w:r w:rsidR="00794A96">
        <w:t>”</w:t>
      </w:r>
      <w:r w:rsidR="00794A96">
        <w:br/>
      </w:r>
      <w:r w:rsidR="000C5633">
        <w:t xml:space="preserve"> </w:t>
      </w:r>
    </w:p>
    <w:tbl>
      <w:tblPr>
        <w:tblStyle w:val="TableGrid"/>
        <w:tblW w:w="0" w:type="auto"/>
        <w:tblInd w:w="-5"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5"/>
        <w:gridCol w:w="1440"/>
        <w:gridCol w:w="6390"/>
      </w:tblGrid>
      <w:tr w:rsidR="000C5633" w:rsidRPr="006F5A25" w14:paraId="61CC096F" w14:textId="77777777" w:rsidTr="007974BB">
        <w:tc>
          <w:tcPr>
            <w:tcW w:w="1535" w:type="dxa"/>
            <w:tcBorders>
              <w:top w:val="single" w:sz="4" w:space="0" w:color="auto"/>
              <w:bottom w:val="single" w:sz="4" w:space="0" w:color="auto"/>
            </w:tcBorders>
          </w:tcPr>
          <w:p w14:paraId="4649AD76" w14:textId="77777777" w:rsidR="000C5633" w:rsidRDefault="000C5633" w:rsidP="007974BB">
            <w:pPr>
              <w:jc w:val="center"/>
              <w:rPr>
                <w:sz w:val="20"/>
                <w:szCs w:val="20"/>
                <w:lang w:val="en"/>
              </w:rPr>
            </w:pPr>
            <w:r w:rsidRPr="00941443">
              <w:rPr>
                <w:sz w:val="20"/>
                <w:szCs w:val="20"/>
                <w:lang w:val="en"/>
              </w:rPr>
              <w:t>Language</w:t>
            </w:r>
          </w:p>
          <w:p w14:paraId="139073C5" w14:textId="77777777" w:rsidR="000C5633" w:rsidRPr="00941443" w:rsidRDefault="000C5633" w:rsidP="007974BB">
            <w:pPr>
              <w:jc w:val="center"/>
              <w:rPr>
                <w:sz w:val="20"/>
                <w:szCs w:val="20"/>
                <w:lang w:val="en"/>
              </w:rPr>
            </w:pPr>
            <w:r>
              <w:rPr>
                <w:sz w:val="20"/>
                <w:szCs w:val="20"/>
                <w:lang w:val="en"/>
              </w:rPr>
              <w:t>exchange</w:t>
            </w:r>
          </w:p>
        </w:tc>
        <w:tc>
          <w:tcPr>
            <w:tcW w:w="1440" w:type="dxa"/>
            <w:tcBorders>
              <w:top w:val="single" w:sz="4" w:space="0" w:color="auto"/>
              <w:bottom w:val="single" w:sz="4" w:space="0" w:color="auto"/>
            </w:tcBorders>
          </w:tcPr>
          <w:p w14:paraId="27B60643" w14:textId="77777777" w:rsidR="000C5633" w:rsidRDefault="000C5633" w:rsidP="007974BB">
            <w:pPr>
              <w:jc w:val="center"/>
              <w:rPr>
                <w:sz w:val="20"/>
                <w:szCs w:val="20"/>
                <w:lang w:val="en"/>
              </w:rPr>
            </w:pPr>
            <w:r>
              <w:rPr>
                <w:sz w:val="20"/>
                <w:szCs w:val="20"/>
                <w:lang w:val="en"/>
              </w:rPr>
              <w:t>Elements of cycle phase</w:t>
            </w:r>
          </w:p>
        </w:tc>
        <w:tc>
          <w:tcPr>
            <w:tcW w:w="6390" w:type="dxa"/>
            <w:tcBorders>
              <w:top w:val="single" w:sz="4" w:space="0" w:color="auto"/>
              <w:bottom w:val="single" w:sz="4" w:space="0" w:color="auto"/>
            </w:tcBorders>
          </w:tcPr>
          <w:p w14:paraId="0D1B0CF0" w14:textId="77777777" w:rsidR="000C5633" w:rsidRPr="00CD6239" w:rsidRDefault="000C5633" w:rsidP="007974BB">
            <w:pPr>
              <w:jc w:val="center"/>
              <w:rPr>
                <w:rStyle w:val="ts-alignment-element-highlighted"/>
                <w:rFonts w:ascii="Segoe UI" w:hAnsi="Segoe UI" w:cs="Segoe UI"/>
                <w:i/>
                <w:iCs/>
                <w:color w:val="000000"/>
                <w:shd w:val="clear" w:color="auto" w:fill="D4D4D4"/>
              </w:rPr>
            </w:pPr>
            <w:r w:rsidRPr="00A37BE6">
              <w:rPr>
                <w:sz w:val="20"/>
                <w:szCs w:val="20"/>
                <w:lang w:val="en"/>
              </w:rPr>
              <w:t>Exchange</w:t>
            </w:r>
            <w:r w:rsidRPr="00A37BE6">
              <w:rPr>
                <w:sz w:val="20"/>
                <w:szCs w:val="20"/>
                <w:lang w:val="en"/>
              </w:rPr>
              <w:br/>
              <w:t>Role and Interaction</w:t>
            </w:r>
          </w:p>
        </w:tc>
      </w:tr>
      <w:tr w:rsidR="000C5633" w:rsidRPr="006F5A25" w14:paraId="24C1FE74" w14:textId="77777777" w:rsidTr="007974BB">
        <w:trPr>
          <w:trHeight w:val="440"/>
        </w:trPr>
        <w:tc>
          <w:tcPr>
            <w:tcW w:w="1535" w:type="dxa"/>
            <w:tcBorders>
              <w:top w:val="single" w:sz="4" w:space="0" w:color="auto"/>
              <w:bottom w:val="nil"/>
            </w:tcBorders>
          </w:tcPr>
          <w:p w14:paraId="6B92D4A4" w14:textId="77777777" w:rsidR="000C5633" w:rsidRPr="006F5A25" w:rsidRDefault="000C5633" w:rsidP="007974BB">
            <w:pPr>
              <w:jc w:val="center"/>
              <w:rPr>
                <w:lang w:val="en"/>
              </w:rPr>
            </w:pPr>
            <w:r>
              <w:rPr>
                <w:lang w:val="en"/>
              </w:rPr>
              <w:br/>
              <w:t>F ^ T ^ F</w:t>
            </w:r>
          </w:p>
        </w:tc>
        <w:tc>
          <w:tcPr>
            <w:tcW w:w="1440" w:type="dxa"/>
            <w:tcBorders>
              <w:top w:val="single" w:sz="4" w:space="0" w:color="auto"/>
              <w:bottom w:val="nil"/>
            </w:tcBorders>
          </w:tcPr>
          <w:p w14:paraId="7AF4984D" w14:textId="77777777" w:rsidR="000C5633" w:rsidRDefault="000C5633" w:rsidP="007974BB">
            <w:pPr>
              <w:jc w:val="center"/>
              <w:rPr>
                <w:sz w:val="20"/>
                <w:szCs w:val="20"/>
                <w:lang w:val="en"/>
              </w:rPr>
            </w:pPr>
          </w:p>
          <w:p w14:paraId="1483C46D" w14:textId="77777777" w:rsidR="000C5633" w:rsidRPr="00E96FB7" w:rsidRDefault="000C5633" w:rsidP="007974BB">
            <w:pPr>
              <w:jc w:val="center"/>
              <w:rPr>
                <w:sz w:val="20"/>
                <w:szCs w:val="20"/>
                <w:lang w:val="en"/>
              </w:rPr>
            </w:pPr>
          </w:p>
        </w:tc>
        <w:tc>
          <w:tcPr>
            <w:tcW w:w="6390" w:type="dxa"/>
            <w:tcBorders>
              <w:top w:val="single" w:sz="4" w:space="0" w:color="auto"/>
              <w:bottom w:val="nil"/>
            </w:tcBorders>
          </w:tcPr>
          <w:p w14:paraId="1E134638" w14:textId="77777777" w:rsidR="000C5633" w:rsidRDefault="000C5633" w:rsidP="007974BB">
            <w:pPr>
              <w:rPr>
                <w:rStyle w:val="ts-alignment-element"/>
                <w:rFonts w:ascii="Segoe UI" w:hAnsi="Segoe UI" w:cs="Segoe UI"/>
                <w:i/>
                <w:iCs/>
                <w:color w:val="000000"/>
              </w:rPr>
            </w:pPr>
          </w:p>
          <w:p w14:paraId="647983CB" w14:textId="77777777" w:rsidR="000C5633" w:rsidRPr="009724A7" w:rsidRDefault="000C5633" w:rsidP="007974BB">
            <w:pPr>
              <w:rPr>
                <w:rFonts w:ascii="Segoe UI" w:hAnsi="Segoe UI" w:cs="Segoe UI"/>
                <w:i/>
                <w:iCs/>
                <w:color w:val="000000"/>
                <w:sz w:val="20"/>
                <w:szCs w:val="20"/>
              </w:rPr>
            </w:pPr>
          </w:p>
        </w:tc>
      </w:tr>
      <w:tr w:rsidR="000C5633" w:rsidRPr="006F5A25" w14:paraId="388CB8B6" w14:textId="77777777" w:rsidTr="007974BB">
        <w:trPr>
          <w:trHeight w:val="280"/>
        </w:trPr>
        <w:tc>
          <w:tcPr>
            <w:tcW w:w="1535" w:type="dxa"/>
            <w:tcBorders>
              <w:top w:val="nil"/>
              <w:bottom w:val="nil"/>
            </w:tcBorders>
          </w:tcPr>
          <w:p w14:paraId="414B7DB5" w14:textId="77777777" w:rsidR="000C5633" w:rsidRDefault="000C5633" w:rsidP="007974BB">
            <w:pPr>
              <w:jc w:val="center"/>
              <w:rPr>
                <w:lang w:val="en"/>
              </w:rPr>
            </w:pPr>
            <w:r>
              <w:rPr>
                <w:lang w:val="en"/>
              </w:rPr>
              <w:br/>
              <w:t>F</w:t>
            </w:r>
          </w:p>
        </w:tc>
        <w:tc>
          <w:tcPr>
            <w:tcW w:w="1440" w:type="dxa"/>
            <w:tcBorders>
              <w:top w:val="nil"/>
              <w:bottom w:val="nil"/>
            </w:tcBorders>
          </w:tcPr>
          <w:p w14:paraId="0822733B" w14:textId="77777777" w:rsidR="000C5633" w:rsidRDefault="000C5633" w:rsidP="007974BB">
            <w:pPr>
              <w:jc w:val="center"/>
              <w:rPr>
                <w:sz w:val="20"/>
                <w:szCs w:val="20"/>
                <w:lang w:val="en"/>
              </w:rPr>
            </w:pPr>
            <w:r w:rsidRPr="00D76538">
              <w:rPr>
                <w:sz w:val="16"/>
                <w:szCs w:val="16"/>
                <w:lang w:val="en"/>
              </w:rPr>
              <w:t xml:space="preserve">PREPARE </w:t>
            </w:r>
            <w:r w:rsidRPr="00894D9E">
              <w:rPr>
                <w:sz w:val="20"/>
                <w:szCs w:val="20"/>
                <w:lang w:val="en"/>
              </w:rPr>
              <w:t>Sentence Preparation</w:t>
            </w:r>
          </w:p>
        </w:tc>
        <w:tc>
          <w:tcPr>
            <w:tcW w:w="6390" w:type="dxa"/>
            <w:tcBorders>
              <w:top w:val="nil"/>
              <w:bottom w:val="nil"/>
            </w:tcBorders>
          </w:tcPr>
          <w:p w14:paraId="2CAB562F" w14:textId="77777777" w:rsidR="000C5633" w:rsidRDefault="000C5633" w:rsidP="007974BB">
            <w:pPr>
              <w:rPr>
                <w:sz w:val="20"/>
                <w:szCs w:val="20"/>
              </w:rPr>
            </w:pPr>
            <w:r>
              <w:rPr>
                <w:sz w:val="20"/>
                <w:szCs w:val="20"/>
              </w:rPr>
              <w:t xml:space="preserve">Teacher: </w:t>
            </w:r>
            <w:r w:rsidRPr="002B72EC">
              <w:rPr>
                <w:sz w:val="20"/>
                <w:szCs w:val="20"/>
              </w:rPr>
              <w:t xml:space="preserve">La oración nos </w:t>
            </w:r>
            <w:r>
              <w:rPr>
                <w:sz w:val="20"/>
                <w:szCs w:val="20"/>
              </w:rPr>
              <w:t xml:space="preserve">dice </w:t>
            </w:r>
            <w:r w:rsidRPr="002B72EC">
              <w:rPr>
                <w:sz w:val="20"/>
                <w:szCs w:val="20"/>
              </w:rPr>
              <w:t>en que academia de f</w:t>
            </w:r>
            <w:r>
              <w:rPr>
                <w:sz w:val="20"/>
                <w:szCs w:val="20"/>
              </w:rPr>
              <w:t>ú</w:t>
            </w:r>
            <w:r w:rsidRPr="002B72EC">
              <w:rPr>
                <w:sz w:val="20"/>
                <w:szCs w:val="20"/>
              </w:rPr>
              <w:t xml:space="preserve">tbol entrena Jacobo y cual es su posición en la cancha. </w:t>
            </w:r>
            <w:r>
              <w:rPr>
                <w:sz w:val="20"/>
                <w:szCs w:val="20"/>
              </w:rPr>
              <w:t>La voy a leer.</w:t>
            </w:r>
          </w:p>
          <w:p w14:paraId="441601F2" w14:textId="77777777" w:rsidR="000C5633" w:rsidRDefault="000C5633" w:rsidP="007974BB">
            <w:pPr>
              <w:rPr>
                <w:sz w:val="20"/>
                <w:szCs w:val="20"/>
              </w:rPr>
            </w:pPr>
            <w:r>
              <w:rPr>
                <w:sz w:val="20"/>
                <w:szCs w:val="20"/>
              </w:rPr>
              <w:br/>
              <w:t>[the sentence tells us what soccer academy Jacobo trains in and in what position he plays. I’m going to read it].</w:t>
            </w:r>
          </w:p>
          <w:p w14:paraId="1B557596" w14:textId="77777777" w:rsidR="000C5633" w:rsidRPr="009D5899" w:rsidRDefault="000C5633" w:rsidP="007974BB">
            <w:pPr>
              <w:rPr>
                <w:rStyle w:val="ts-alignment-element"/>
                <w:sz w:val="20"/>
                <w:szCs w:val="20"/>
              </w:rPr>
            </w:pPr>
          </w:p>
        </w:tc>
      </w:tr>
      <w:tr w:rsidR="000C5633" w:rsidRPr="006F5A25" w14:paraId="30960A70" w14:textId="77777777" w:rsidTr="007974BB">
        <w:trPr>
          <w:trHeight w:val="286"/>
        </w:trPr>
        <w:tc>
          <w:tcPr>
            <w:tcW w:w="1535" w:type="dxa"/>
            <w:tcBorders>
              <w:top w:val="nil"/>
              <w:bottom w:val="nil"/>
            </w:tcBorders>
          </w:tcPr>
          <w:p w14:paraId="0996E0F5" w14:textId="77777777" w:rsidR="000C5633" w:rsidRDefault="000C5633" w:rsidP="007974BB">
            <w:pPr>
              <w:jc w:val="center"/>
              <w:rPr>
                <w:lang w:val="en"/>
              </w:rPr>
            </w:pPr>
            <w:r>
              <w:rPr>
                <w:lang w:val="en"/>
              </w:rPr>
              <w:lastRenderedPageBreak/>
              <w:t>T</w:t>
            </w:r>
          </w:p>
        </w:tc>
        <w:tc>
          <w:tcPr>
            <w:tcW w:w="1440" w:type="dxa"/>
            <w:tcBorders>
              <w:top w:val="nil"/>
              <w:bottom w:val="nil"/>
            </w:tcBorders>
          </w:tcPr>
          <w:p w14:paraId="7C40CB60" w14:textId="77777777" w:rsidR="000C5633" w:rsidRDefault="000C5633" w:rsidP="007974BB">
            <w:pPr>
              <w:jc w:val="center"/>
              <w:rPr>
                <w:sz w:val="20"/>
                <w:szCs w:val="20"/>
                <w:lang w:val="en"/>
              </w:rPr>
            </w:pPr>
            <w:r w:rsidRPr="00D76538">
              <w:rPr>
                <w:sz w:val="16"/>
                <w:szCs w:val="16"/>
                <w:lang w:val="en"/>
              </w:rPr>
              <w:t>PREPARE</w:t>
            </w:r>
            <w:r>
              <w:rPr>
                <w:sz w:val="20"/>
                <w:szCs w:val="20"/>
                <w:lang w:val="en"/>
              </w:rPr>
              <w:t xml:space="preserve"> </w:t>
            </w:r>
            <w:r>
              <w:rPr>
                <w:sz w:val="20"/>
                <w:szCs w:val="20"/>
                <w:lang w:val="en"/>
              </w:rPr>
              <w:br/>
              <w:t>Read Aloud</w:t>
            </w:r>
          </w:p>
        </w:tc>
        <w:tc>
          <w:tcPr>
            <w:tcW w:w="6390" w:type="dxa"/>
            <w:tcBorders>
              <w:top w:val="nil"/>
              <w:bottom w:val="nil"/>
            </w:tcBorders>
          </w:tcPr>
          <w:p w14:paraId="5CC720CD" w14:textId="77777777" w:rsidR="000C5633" w:rsidRPr="006469DC" w:rsidRDefault="000C5633" w:rsidP="007974BB">
            <w:pPr>
              <w:rPr>
                <w:i/>
                <w:iCs/>
                <w:sz w:val="20"/>
                <w:szCs w:val="20"/>
                <w:lang w:val="en"/>
              </w:rPr>
            </w:pPr>
            <w:r w:rsidRPr="006469DC">
              <w:rPr>
                <w:i/>
                <w:iCs/>
                <w:sz w:val="20"/>
                <w:szCs w:val="20"/>
                <w:lang w:val="en"/>
              </w:rPr>
              <w:t xml:space="preserve">He trains in the Millonarios academy and plays as a left-back in the under 11 team.  </w:t>
            </w:r>
          </w:p>
          <w:p w14:paraId="5E424D22" w14:textId="77777777" w:rsidR="000C5633" w:rsidRPr="006469DC" w:rsidRDefault="000C5633" w:rsidP="007974BB">
            <w:pPr>
              <w:rPr>
                <w:rStyle w:val="ts-alignment-element"/>
                <w:i/>
                <w:iCs/>
                <w:sz w:val="20"/>
                <w:szCs w:val="20"/>
                <w:lang w:val="en"/>
              </w:rPr>
            </w:pPr>
          </w:p>
        </w:tc>
      </w:tr>
      <w:tr w:rsidR="000C5633" w:rsidRPr="006F5A25" w14:paraId="7EF8D992" w14:textId="77777777" w:rsidTr="007974BB">
        <w:trPr>
          <w:trHeight w:val="286"/>
        </w:trPr>
        <w:tc>
          <w:tcPr>
            <w:tcW w:w="1535" w:type="dxa"/>
            <w:tcBorders>
              <w:top w:val="nil"/>
              <w:bottom w:val="single" w:sz="4" w:space="0" w:color="000000"/>
            </w:tcBorders>
          </w:tcPr>
          <w:p w14:paraId="071B328C" w14:textId="77777777" w:rsidR="000C5633" w:rsidRDefault="000C5633" w:rsidP="007974BB">
            <w:pPr>
              <w:jc w:val="center"/>
              <w:rPr>
                <w:lang w:val="en"/>
              </w:rPr>
            </w:pPr>
            <w:r>
              <w:rPr>
                <w:lang w:val="en"/>
              </w:rPr>
              <w:t>F</w:t>
            </w:r>
          </w:p>
        </w:tc>
        <w:tc>
          <w:tcPr>
            <w:tcW w:w="1440" w:type="dxa"/>
            <w:tcBorders>
              <w:top w:val="nil"/>
              <w:bottom w:val="single" w:sz="4" w:space="0" w:color="000000"/>
            </w:tcBorders>
          </w:tcPr>
          <w:p w14:paraId="396EDFC1" w14:textId="77777777" w:rsidR="000C5633" w:rsidRDefault="000C5633" w:rsidP="007974BB">
            <w:pPr>
              <w:jc w:val="center"/>
              <w:rPr>
                <w:sz w:val="20"/>
                <w:szCs w:val="20"/>
                <w:lang w:val="en"/>
              </w:rPr>
            </w:pPr>
            <w:r w:rsidRPr="00D76538">
              <w:rPr>
                <w:sz w:val="16"/>
                <w:szCs w:val="16"/>
                <w:lang w:val="en"/>
              </w:rPr>
              <w:t>FOCUS</w:t>
            </w:r>
            <w:r>
              <w:rPr>
                <w:sz w:val="20"/>
                <w:szCs w:val="20"/>
                <w:lang w:val="en"/>
              </w:rPr>
              <w:t xml:space="preserve"> </w:t>
            </w:r>
            <w:r>
              <w:rPr>
                <w:sz w:val="20"/>
                <w:szCs w:val="20"/>
                <w:lang w:val="en"/>
              </w:rPr>
              <w:br/>
              <w:t>Word position</w:t>
            </w:r>
          </w:p>
        </w:tc>
        <w:tc>
          <w:tcPr>
            <w:tcW w:w="6390" w:type="dxa"/>
            <w:tcBorders>
              <w:top w:val="nil"/>
              <w:bottom w:val="single" w:sz="4" w:space="0" w:color="000000"/>
            </w:tcBorders>
          </w:tcPr>
          <w:p w14:paraId="4285C355" w14:textId="23B7CC7A" w:rsidR="000C5633" w:rsidRDefault="000C5633" w:rsidP="007974BB">
            <w:pPr>
              <w:rPr>
                <w:rStyle w:val="ts-alignment-element"/>
                <w:rFonts w:cstheme="minorHAnsi"/>
                <w:color w:val="000000"/>
                <w:sz w:val="20"/>
                <w:szCs w:val="20"/>
              </w:rPr>
            </w:pPr>
            <w:r w:rsidRPr="00BE31A6">
              <w:rPr>
                <w:rStyle w:val="ts-alignment-element"/>
                <w:rFonts w:cstheme="minorHAnsi"/>
                <w:color w:val="000000"/>
                <w:sz w:val="20"/>
                <w:szCs w:val="20"/>
              </w:rPr>
              <w:t>La primera palabra está al inicio de la oración.</w:t>
            </w:r>
            <w:r w:rsidR="00794A96">
              <w:rPr>
                <w:rStyle w:val="ts-alignment-element"/>
                <w:rFonts w:cstheme="minorHAnsi"/>
                <w:color w:val="000000"/>
                <w:sz w:val="20"/>
                <w:szCs w:val="20"/>
              </w:rPr>
              <w:br/>
            </w:r>
            <w:r w:rsidRPr="00BE31A6">
              <w:rPr>
                <w:rStyle w:val="ts-alignment-element"/>
                <w:rFonts w:cstheme="minorHAnsi"/>
                <w:color w:val="000000"/>
                <w:sz w:val="20"/>
                <w:szCs w:val="20"/>
              </w:rPr>
              <w:t xml:space="preserve">  </w:t>
            </w:r>
          </w:p>
          <w:p w14:paraId="6D8AC01C" w14:textId="3FD684F7" w:rsidR="00794A96" w:rsidRPr="006B5778" w:rsidRDefault="00794A96" w:rsidP="007974BB">
            <w:pPr>
              <w:rPr>
                <w:rStyle w:val="ts-alignment-element"/>
                <w:rFonts w:cstheme="minorHAnsi"/>
                <w:color w:val="000000"/>
              </w:rPr>
            </w:pPr>
            <w:r>
              <w:rPr>
                <w:rStyle w:val="ts-alignment-element"/>
                <w:rFonts w:cstheme="minorHAnsi"/>
                <w:color w:val="000000"/>
                <w:sz w:val="20"/>
                <w:szCs w:val="20"/>
              </w:rPr>
              <w:t>[the first word is at the beginning of the sentence]</w:t>
            </w:r>
          </w:p>
        </w:tc>
      </w:tr>
    </w:tbl>
    <w:p w14:paraId="72D0D083" w14:textId="46EFE998" w:rsidR="000C5633" w:rsidRPr="00794A96" w:rsidRDefault="00794A96" w:rsidP="00794A96">
      <w:pPr>
        <w:jc w:val="center"/>
        <w:rPr>
          <w:lang w:val="en"/>
        </w:rPr>
      </w:pPr>
      <w:r>
        <w:rPr>
          <w:lang w:val="en"/>
        </w:rPr>
        <w:br/>
        <w:t>Table 2. Sustain in the Prepare and Focus Marginal Phases</w:t>
      </w:r>
    </w:p>
    <w:p w14:paraId="7E668BBF" w14:textId="77777777" w:rsidR="00AA414F" w:rsidRDefault="00AA414F" w:rsidP="00794A96">
      <w:pPr>
        <w:rPr>
          <w:b/>
          <w:bCs/>
          <w:i/>
          <w:iCs/>
        </w:rPr>
      </w:pPr>
    </w:p>
    <w:p w14:paraId="183AD871" w14:textId="2E794C08" w:rsidR="00C1504B" w:rsidRPr="00C1504B" w:rsidRDefault="00C1504B" w:rsidP="00794A96">
      <w:pPr>
        <w:rPr>
          <w:b/>
          <w:bCs/>
          <w:i/>
          <w:iCs/>
        </w:rPr>
      </w:pPr>
      <w:r w:rsidRPr="00C1504B">
        <w:rPr>
          <w:b/>
          <w:bCs/>
          <w:i/>
          <w:iCs/>
        </w:rPr>
        <w:t xml:space="preserve">Switch </w:t>
      </w:r>
    </w:p>
    <w:p w14:paraId="0A0D7E49" w14:textId="0F62DD49" w:rsidR="00794A96" w:rsidRPr="00794A96" w:rsidRDefault="00AA414F" w:rsidP="00794A96">
      <w:r>
        <w:t>In the</w:t>
      </w:r>
      <w:r w:rsidR="00794A96">
        <w:t xml:space="preserve"> next interaction, the teacher switches between languages</w:t>
      </w:r>
      <w:r w:rsidR="00657997">
        <w:t xml:space="preserve"> within the same discourse semantic unit (</w:t>
      </w:r>
      <w:r>
        <w:t xml:space="preserve">Core </w:t>
      </w:r>
      <w:r w:rsidR="00657997">
        <w:t>Task). This is why it is coded as a switch indicated by parenthesis.</w:t>
      </w:r>
      <w:r w:rsidR="00D86AC7">
        <w:t xml:space="preserve"> B</w:t>
      </w:r>
      <w:r w:rsidR="00794A96">
        <w:t xml:space="preserve">ecause the switch </w:t>
      </w:r>
      <w:r w:rsidR="00794A96" w:rsidRPr="00D86AC7">
        <w:rPr>
          <w:b/>
          <w:bCs/>
        </w:rPr>
        <w:t>is not</w:t>
      </w:r>
      <w:r w:rsidR="00794A96">
        <w:t xml:space="preserve"> </w:t>
      </w:r>
      <w:r w:rsidR="00657997">
        <w:t xml:space="preserve">a concurrent translation, it is coded as </w:t>
      </w:r>
      <w:r w:rsidR="00794A96">
        <w:t>(</w:t>
      </w:r>
      <w:r w:rsidR="00657997">
        <w:t>F</w:t>
      </w:r>
      <w:r w:rsidR="00794A96">
        <w:t>+</w:t>
      </w:r>
      <w:r w:rsidR="00657997">
        <w:t>T</w:t>
      </w:r>
      <w:r w:rsidR="00794A96">
        <w:t>)</w:t>
      </w:r>
      <w:r w:rsidR="00657997">
        <w:t>. Th</w:t>
      </w:r>
      <w:r w:rsidR="00537552">
        <w:t xml:space="preserve">e interaction continues with </w:t>
      </w:r>
      <w:r w:rsidR="00CE3C55">
        <w:t xml:space="preserve">the </w:t>
      </w:r>
      <w:r w:rsidR="00657997">
        <w:t>student’s response in the target language</w:t>
      </w:r>
      <w:r w:rsidR="009C0C61">
        <w:t>,</w:t>
      </w:r>
      <w:r w:rsidR="00657997">
        <w:t xml:space="preserve"> coded as T. The complete interaction is </w:t>
      </w:r>
      <w:r w:rsidR="00CE3C55">
        <w:t xml:space="preserve">then </w:t>
      </w:r>
      <w:r w:rsidR="00657997">
        <w:t>coded as (F+T) ^ T</w:t>
      </w:r>
      <w:r w:rsidR="009C0C61">
        <w:t>,</w:t>
      </w:r>
      <w:r w:rsidR="00657997">
        <w:t xml:space="preserve"> which is read as first plus target switch, followed by sustain in target. Although the interaction changed from one language to another within the same cycle</w:t>
      </w:r>
      <w:r w:rsidR="004B4758">
        <w:t xml:space="preserve"> element</w:t>
      </w:r>
      <w:r w:rsidR="00657997">
        <w:t xml:space="preserve"> (Core), this last move is coded as </w:t>
      </w:r>
      <w:r w:rsidR="004B4758">
        <w:t xml:space="preserve">a </w:t>
      </w:r>
      <w:r w:rsidR="00657997">
        <w:t xml:space="preserve">sustain move </w:t>
      </w:r>
      <w:r w:rsidR="004B4758">
        <w:t>rather</w:t>
      </w:r>
      <w:r w:rsidR="00657997">
        <w:t xml:space="preserve"> </w:t>
      </w:r>
      <w:r w:rsidR="004B4758">
        <w:t>than</w:t>
      </w:r>
      <w:r w:rsidR="00657997">
        <w:t xml:space="preserve"> a switch because it was performed by a different participant (student 1</w:t>
      </w:r>
      <w:r w:rsidR="004B4758">
        <w:t>, instead of teacher</w:t>
      </w:r>
      <w:r w:rsidR="00657997">
        <w:t>).</w:t>
      </w:r>
      <w:r w:rsidR="004B4758">
        <w:t xml:space="preserve"> </w:t>
      </w:r>
      <w:r w:rsidR="00DD5ACB">
        <w:br/>
      </w:r>
    </w:p>
    <w:tbl>
      <w:tblPr>
        <w:tblStyle w:val="TableGrid"/>
        <w:tblW w:w="0" w:type="auto"/>
        <w:tblInd w:w="-5"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45"/>
        <w:gridCol w:w="1530"/>
        <w:gridCol w:w="6390"/>
      </w:tblGrid>
      <w:tr w:rsidR="00794A96" w:rsidRPr="006F5A25" w14:paraId="4067A4FD" w14:textId="77777777" w:rsidTr="007974BB">
        <w:tc>
          <w:tcPr>
            <w:tcW w:w="1445" w:type="dxa"/>
            <w:tcBorders>
              <w:top w:val="single" w:sz="4" w:space="0" w:color="auto"/>
              <w:bottom w:val="single" w:sz="4" w:space="0" w:color="auto"/>
            </w:tcBorders>
          </w:tcPr>
          <w:p w14:paraId="42B25C35" w14:textId="77777777" w:rsidR="00794A96" w:rsidRDefault="00794A96" w:rsidP="007974BB">
            <w:pPr>
              <w:jc w:val="center"/>
              <w:rPr>
                <w:sz w:val="20"/>
                <w:szCs w:val="20"/>
                <w:lang w:val="en"/>
              </w:rPr>
            </w:pPr>
            <w:r w:rsidRPr="00941443">
              <w:rPr>
                <w:sz w:val="20"/>
                <w:szCs w:val="20"/>
                <w:lang w:val="en"/>
              </w:rPr>
              <w:t>Language</w:t>
            </w:r>
          </w:p>
          <w:p w14:paraId="4F88451B" w14:textId="77777777" w:rsidR="00794A96" w:rsidRPr="00941443" w:rsidRDefault="00794A96" w:rsidP="007974BB">
            <w:pPr>
              <w:jc w:val="center"/>
              <w:rPr>
                <w:sz w:val="20"/>
                <w:szCs w:val="20"/>
                <w:lang w:val="en"/>
              </w:rPr>
            </w:pPr>
            <w:r>
              <w:rPr>
                <w:sz w:val="20"/>
                <w:szCs w:val="20"/>
                <w:lang w:val="en"/>
              </w:rPr>
              <w:t>exchange</w:t>
            </w:r>
          </w:p>
        </w:tc>
        <w:tc>
          <w:tcPr>
            <w:tcW w:w="1530" w:type="dxa"/>
            <w:tcBorders>
              <w:top w:val="single" w:sz="4" w:space="0" w:color="auto"/>
              <w:bottom w:val="single" w:sz="4" w:space="0" w:color="auto"/>
            </w:tcBorders>
          </w:tcPr>
          <w:p w14:paraId="39CFED35" w14:textId="77777777" w:rsidR="00794A96" w:rsidRDefault="00794A96" w:rsidP="007974BB">
            <w:pPr>
              <w:jc w:val="center"/>
              <w:rPr>
                <w:sz w:val="20"/>
                <w:szCs w:val="20"/>
                <w:lang w:val="en"/>
              </w:rPr>
            </w:pPr>
            <w:r>
              <w:rPr>
                <w:sz w:val="20"/>
                <w:szCs w:val="20"/>
                <w:lang w:val="en"/>
              </w:rPr>
              <w:t>Elements of cycle phase</w:t>
            </w:r>
          </w:p>
        </w:tc>
        <w:tc>
          <w:tcPr>
            <w:tcW w:w="6390" w:type="dxa"/>
            <w:tcBorders>
              <w:top w:val="single" w:sz="4" w:space="0" w:color="auto"/>
              <w:bottom w:val="single" w:sz="4" w:space="0" w:color="auto"/>
            </w:tcBorders>
          </w:tcPr>
          <w:p w14:paraId="78CBE045" w14:textId="77777777" w:rsidR="00794A96" w:rsidRPr="00CD6239" w:rsidRDefault="00794A96" w:rsidP="007974BB">
            <w:pPr>
              <w:jc w:val="center"/>
              <w:rPr>
                <w:rStyle w:val="ts-alignment-element-highlighted"/>
                <w:rFonts w:ascii="Segoe UI" w:hAnsi="Segoe UI" w:cs="Segoe UI"/>
                <w:i/>
                <w:iCs/>
                <w:color w:val="000000"/>
                <w:shd w:val="clear" w:color="auto" w:fill="D4D4D4"/>
              </w:rPr>
            </w:pPr>
            <w:r w:rsidRPr="00A37BE6">
              <w:rPr>
                <w:sz w:val="20"/>
                <w:szCs w:val="20"/>
                <w:lang w:val="en"/>
              </w:rPr>
              <w:t>Exchange</w:t>
            </w:r>
            <w:r>
              <w:rPr>
                <w:sz w:val="20"/>
                <w:szCs w:val="20"/>
                <w:lang w:val="en"/>
              </w:rPr>
              <w:t xml:space="preserve"> </w:t>
            </w:r>
            <w:r w:rsidRPr="00A37BE6">
              <w:rPr>
                <w:sz w:val="20"/>
                <w:szCs w:val="20"/>
                <w:lang w:val="en"/>
              </w:rPr>
              <w:t xml:space="preserve">Role </w:t>
            </w:r>
            <w:r>
              <w:rPr>
                <w:sz w:val="20"/>
                <w:szCs w:val="20"/>
                <w:lang w:val="en"/>
              </w:rPr>
              <w:br/>
            </w:r>
            <w:r w:rsidRPr="00A37BE6">
              <w:rPr>
                <w:sz w:val="20"/>
                <w:szCs w:val="20"/>
                <w:lang w:val="en"/>
              </w:rPr>
              <w:t>and Interaction</w:t>
            </w:r>
          </w:p>
        </w:tc>
      </w:tr>
      <w:tr w:rsidR="00794A96" w:rsidRPr="006F5A25" w14:paraId="549A8518" w14:textId="77777777" w:rsidTr="007974BB">
        <w:trPr>
          <w:trHeight w:val="440"/>
        </w:trPr>
        <w:tc>
          <w:tcPr>
            <w:tcW w:w="1445" w:type="dxa"/>
            <w:tcBorders>
              <w:top w:val="single" w:sz="4" w:space="0" w:color="auto"/>
              <w:bottom w:val="nil"/>
            </w:tcBorders>
          </w:tcPr>
          <w:p w14:paraId="6331435E" w14:textId="77777777" w:rsidR="00794A96" w:rsidRPr="009706BF" w:rsidRDefault="00794A96" w:rsidP="007974BB">
            <w:pPr>
              <w:jc w:val="center"/>
              <w:rPr>
                <w:sz w:val="22"/>
                <w:szCs w:val="22"/>
                <w:lang w:val="en"/>
              </w:rPr>
            </w:pPr>
            <w:r w:rsidRPr="009706BF">
              <w:rPr>
                <w:sz w:val="22"/>
                <w:szCs w:val="22"/>
                <w:lang w:val="en"/>
              </w:rPr>
              <w:br/>
              <w:t>(F+T) ^ T</w:t>
            </w:r>
          </w:p>
        </w:tc>
        <w:tc>
          <w:tcPr>
            <w:tcW w:w="1530" w:type="dxa"/>
            <w:tcBorders>
              <w:top w:val="single" w:sz="4" w:space="0" w:color="auto"/>
              <w:bottom w:val="nil"/>
            </w:tcBorders>
          </w:tcPr>
          <w:p w14:paraId="73F25598" w14:textId="77777777" w:rsidR="00794A96" w:rsidRDefault="00794A96" w:rsidP="007974BB">
            <w:pPr>
              <w:jc w:val="center"/>
              <w:rPr>
                <w:sz w:val="20"/>
                <w:szCs w:val="20"/>
                <w:lang w:val="en"/>
              </w:rPr>
            </w:pPr>
          </w:p>
          <w:p w14:paraId="32CAB05D" w14:textId="77777777" w:rsidR="00794A96" w:rsidRPr="00E96FB7" w:rsidRDefault="00794A96" w:rsidP="007974BB">
            <w:pPr>
              <w:jc w:val="center"/>
              <w:rPr>
                <w:sz w:val="20"/>
                <w:szCs w:val="20"/>
                <w:lang w:val="en"/>
              </w:rPr>
            </w:pPr>
          </w:p>
        </w:tc>
        <w:tc>
          <w:tcPr>
            <w:tcW w:w="6390" w:type="dxa"/>
            <w:tcBorders>
              <w:top w:val="single" w:sz="4" w:space="0" w:color="auto"/>
              <w:bottom w:val="nil"/>
            </w:tcBorders>
          </w:tcPr>
          <w:p w14:paraId="24DCBB46" w14:textId="77777777" w:rsidR="00794A96" w:rsidRDefault="00794A96" w:rsidP="007974BB">
            <w:pPr>
              <w:rPr>
                <w:rStyle w:val="ts-alignment-element"/>
                <w:rFonts w:ascii="Segoe UI" w:hAnsi="Segoe UI" w:cs="Segoe UI"/>
                <w:i/>
                <w:iCs/>
                <w:color w:val="000000"/>
              </w:rPr>
            </w:pPr>
          </w:p>
          <w:p w14:paraId="43093DF4" w14:textId="77777777" w:rsidR="00794A96" w:rsidRPr="009724A7" w:rsidRDefault="00794A96" w:rsidP="007974BB">
            <w:pPr>
              <w:rPr>
                <w:rFonts w:ascii="Segoe UI" w:hAnsi="Segoe UI" w:cs="Segoe UI"/>
                <w:i/>
                <w:iCs/>
                <w:color w:val="000000"/>
                <w:sz w:val="20"/>
                <w:szCs w:val="20"/>
              </w:rPr>
            </w:pPr>
          </w:p>
        </w:tc>
      </w:tr>
      <w:tr w:rsidR="00794A96" w:rsidRPr="006F5A25" w14:paraId="5A16419A" w14:textId="77777777" w:rsidTr="007974BB">
        <w:trPr>
          <w:trHeight w:val="280"/>
        </w:trPr>
        <w:tc>
          <w:tcPr>
            <w:tcW w:w="1445" w:type="dxa"/>
            <w:tcBorders>
              <w:top w:val="nil"/>
              <w:bottom w:val="nil"/>
            </w:tcBorders>
          </w:tcPr>
          <w:p w14:paraId="46F0C030" w14:textId="77777777" w:rsidR="00794A96" w:rsidRPr="009706BF" w:rsidRDefault="00794A96" w:rsidP="007974BB">
            <w:pPr>
              <w:jc w:val="right"/>
              <w:rPr>
                <w:sz w:val="22"/>
                <w:szCs w:val="22"/>
                <w:lang w:val="en"/>
              </w:rPr>
            </w:pPr>
            <w:r w:rsidRPr="009706BF">
              <w:rPr>
                <w:sz w:val="22"/>
                <w:szCs w:val="22"/>
                <w:lang w:val="en"/>
              </w:rPr>
              <w:t>F+T</w:t>
            </w:r>
          </w:p>
        </w:tc>
        <w:tc>
          <w:tcPr>
            <w:tcW w:w="1530" w:type="dxa"/>
            <w:tcBorders>
              <w:top w:val="nil"/>
              <w:bottom w:val="nil"/>
            </w:tcBorders>
          </w:tcPr>
          <w:p w14:paraId="1D09BC71" w14:textId="77777777" w:rsidR="00794A96" w:rsidRDefault="00794A96" w:rsidP="007974BB">
            <w:pPr>
              <w:jc w:val="center"/>
              <w:rPr>
                <w:sz w:val="20"/>
                <w:szCs w:val="20"/>
                <w:lang w:val="en"/>
              </w:rPr>
            </w:pPr>
            <w:r>
              <w:rPr>
                <w:sz w:val="16"/>
                <w:szCs w:val="16"/>
                <w:lang w:val="en"/>
              </w:rPr>
              <w:t>CORE TASK</w:t>
            </w:r>
            <w:r>
              <w:rPr>
                <w:sz w:val="16"/>
                <w:szCs w:val="16"/>
                <w:lang w:val="en"/>
              </w:rPr>
              <w:br/>
            </w:r>
            <w:r>
              <w:rPr>
                <w:sz w:val="20"/>
                <w:szCs w:val="20"/>
                <w:lang w:val="en"/>
              </w:rPr>
              <w:t>Focus</w:t>
            </w:r>
          </w:p>
        </w:tc>
        <w:tc>
          <w:tcPr>
            <w:tcW w:w="6390" w:type="dxa"/>
            <w:tcBorders>
              <w:top w:val="nil"/>
              <w:bottom w:val="nil"/>
            </w:tcBorders>
          </w:tcPr>
          <w:p w14:paraId="198F0E13" w14:textId="66931C65" w:rsidR="00794A96" w:rsidRDefault="00794A96" w:rsidP="007974BB">
            <w:pPr>
              <w:rPr>
                <w:sz w:val="20"/>
                <w:szCs w:val="20"/>
              </w:rPr>
            </w:pPr>
            <w:r>
              <w:rPr>
                <w:sz w:val="20"/>
                <w:szCs w:val="20"/>
              </w:rPr>
              <w:t xml:space="preserve">Teacher: </w:t>
            </w:r>
            <w:r w:rsidRPr="00C72A45">
              <w:rPr>
                <w:sz w:val="20"/>
                <w:szCs w:val="20"/>
                <w:lang w:val="en-US"/>
              </w:rPr>
              <w:t>¿</w:t>
            </w:r>
            <w:r>
              <w:rPr>
                <w:sz w:val="20"/>
                <w:szCs w:val="20"/>
              </w:rPr>
              <w:t>Qu</w:t>
            </w:r>
            <w:r w:rsidR="002F539B">
              <w:rPr>
                <w:sz w:val="20"/>
                <w:szCs w:val="20"/>
              </w:rPr>
              <w:t>é</w:t>
            </w:r>
            <w:r>
              <w:rPr>
                <w:sz w:val="20"/>
                <w:szCs w:val="20"/>
              </w:rPr>
              <w:t xml:space="preserve"> es lo que el hace en la academia del Millonarios? </w:t>
            </w:r>
            <w:r>
              <w:rPr>
                <w:sz w:val="20"/>
                <w:szCs w:val="20"/>
                <w:lang w:val="en-US"/>
              </w:rPr>
              <w:t>What is that word?</w:t>
            </w:r>
          </w:p>
          <w:p w14:paraId="201BAC45" w14:textId="77777777" w:rsidR="00794A96" w:rsidRDefault="00794A96" w:rsidP="007974BB">
            <w:pPr>
              <w:rPr>
                <w:sz w:val="20"/>
                <w:szCs w:val="20"/>
              </w:rPr>
            </w:pPr>
            <w:r>
              <w:rPr>
                <w:sz w:val="20"/>
                <w:szCs w:val="20"/>
              </w:rPr>
              <w:br/>
              <w:t>[What is it that he does in the Millonarios academy? What is that word?].</w:t>
            </w:r>
          </w:p>
          <w:p w14:paraId="60ACA3D6" w14:textId="77777777" w:rsidR="00794A96" w:rsidRPr="009D5899" w:rsidRDefault="00794A96" w:rsidP="007974BB">
            <w:pPr>
              <w:rPr>
                <w:rStyle w:val="ts-alignment-element"/>
                <w:sz w:val="20"/>
                <w:szCs w:val="20"/>
              </w:rPr>
            </w:pPr>
          </w:p>
        </w:tc>
      </w:tr>
      <w:tr w:rsidR="00794A96" w:rsidRPr="006F5A25" w14:paraId="70E59836" w14:textId="77777777" w:rsidTr="007974BB">
        <w:trPr>
          <w:trHeight w:val="286"/>
        </w:trPr>
        <w:tc>
          <w:tcPr>
            <w:tcW w:w="1445" w:type="dxa"/>
            <w:tcBorders>
              <w:top w:val="nil"/>
              <w:bottom w:val="single" w:sz="4" w:space="0" w:color="000000"/>
            </w:tcBorders>
          </w:tcPr>
          <w:p w14:paraId="22DF8A43" w14:textId="77777777" w:rsidR="00794A96" w:rsidRPr="009706BF" w:rsidRDefault="00794A96" w:rsidP="007974BB">
            <w:pPr>
              <w:jc w:val="right"/>
              <w:rPr>
                <w:sz w:val="22"/>
                <w:szCs w:val="22"/>
                <w:lang w:val="en"/>
              </w:rPr>
            </w:pPr>
            <w:r w:rsidRPr="009706BF">
              <w:rPr>
                <w:sz w:val="22"/>
                <w:szCs w:val="22"/>
                <w:lang w:val="en"/>
              </w:rPr>
              <w:t>T</w:t>
            </w:r>
          </w:p>
        </w:tc>
        <w:tc>
          <w:tcPr>
            <w:tcW w:w="1530" w:type="dxa"/>
            <w:tcBorders>
              <w:top w:val="nil"/>
              <w:bottom w:val="single" w:sz="4" w:space="0" w:color="000000"/>
            </w:tcBorders>
          </w:tcPr>
          <w:p w14:paraId="74C7F398" w14:textId="77777777" w:rsidR="00794A96" w:rsidRDefault="00794A96" w:rsidP="007974BB">
            <w:pPr>
              <w:jc w:val="center"/>
              <w:rPr>
                <w:sz w:val="20"/>
                <w:szCs w:val="20"/>
                <w:lang w:val="en"/>
              </w:rPr>
            </w:pPr>
            <w:r>
              <w:rPr>
                <w:sz w:val="16"/>
                <w:szCs w:val="16"/>
                <w:lang w:val="en"/>
              </w:rPr>
              <w:t>CORE TASK</w:t>
            </w:r>
            <w:r>
              <w:rPr>
                <w:sz w:val="20"/>
                <w:szCs w:val="20"/>
                <w:lang w:val="en"/>
              </w:rPr>
              <w:t xml:space="preserve"> </w:t>
            </w:r>
            <w:r>
              <w:rPr>
                <w:sz w:val="20"/>
                <w:szCs w:val="20"/>
                <w:lang w:val="en"/>
              </w:rPr>
              <w:br/>
              <w:t>Propose</w:t>
            </w:r>
          </w:p>
        </w:tc>
        <w:tc>
          <w:tcPr>
            <w:tcW w:w="6390" w:type="dxa"/>
            <w:tcBorders>
              <w:top w:val="nil"/>
              <w:bottom w:val="single" w:sz="4" w:space="0" w:color="000000"/>
            </w:tcBorders>
          </w:tcPr>
          <w:p w14:paraId="35D90475" w14:textId="77777777" w:rsidR="00794A96" w:rsidRPr="006469DC" w:rsidRDefault="00794A96" w:rsidP="007974BB">
            <w:pPr>
              <w:rPr>
                <w:i/>
                <w:iCs/>
                <w:sz w:val="20"/>
                <w:szCs w:val="20"/>
                <w:lang w:val="en"/>
              </w:rPr>
            </w:pPr>
            <w:r w:rsidRPr="00414EA9">
              <w:rPr>
                <w:sz w:val="20"/>
                <w:szCs w:val="20"/>
                <w:lang w:val="en"/>
              </w:rPr>
              <w:t>Student 1:</w:t>
            </w:r>
            <w:r>
              <w:rPr>
                <w:i/>
                <w:iCs/>
                <w:sz w:val="20"/>
                <w:szCs w:val="20"/>
                <w:lang w:val="en"/>
              </w:rPr>
              <w:t xml:space="preserve"> Trains!</w:t>
            </w:r>
          </w:p>
          <w:p w14:paraId="618CC81B" w14:textId="77777777" w:rsidR="00794A96" w:rsidRPr="006469DC" w:rsidRDefault="00794A96" w:rsidP="007974BB">
            <w:pPr>
              <w:rPr>
                <w:rStyle w:val="ts-alignment-element"/>
                <w:i/>
                <w:iCs/>
                <w:sz w:val="20"/>
                <w:szCs w:val="20"/>
                <w:lang w:val="en"/>
              </w:rPr>
            </w:pPr>
          </w:p>
        </w:tc>
      </w:tr>
    </w:tbl>
    <w:p w14:paraId="330D38BE" w14:textId="4B3F7A8D" w:rsidR="00794A96" w:rsidRPr="00445089" w:rsidRDefault="00445089" w:rsidP="00445089">
      <w:pPr>
        <w:jc w:val="center"/>
        <w:rPr>
          <w:lang w:val="en"/>
        </w:rPr>
      </w:pPr>
      <w:r>
        <w:rPr>
          <w:lang w:val="en"/>
        </w:rPr>
        <w:br/>
      </w:r>
      <w:r w:rsidR="00DD5ACB">
        <w:rPr>
          <w:lang w:val="en"/>
        </w:rPr>
        <w:t>Table 3. Switch and sustain within the core task phase</w:t>
      </w:r>
    </w:p>
    <w:p w14:paraId="3E492E11" w14:textId="77777777" w:rsidR="003F5A5E" w:rsidRDefault="003F5A5E" w:rsidP="00653576"/>
    <w:p w14:paraId="167EE28E" w14:textId="49BEF852" w:rsidR="007F1007" w:rsidRPr="00546669" w:rsidRDefault="00B51DD1" w:rsidP="00653576">
      <w:r w:rsidRPr="00B51DD1">
        <w:t>The translingual teaching–learning exchange system network shows how classroom discourse can be deliberately designed to enable successful participation for all learners, particularly in multilingual contexts.</w:t>
      </w:r>
      <w:r>
        <w:t xml:space="preserve"> </w:t>
      </w:r>
      <w:r w:rsidR="00445089" w:rsidRPr="00445089">
        <w:t xml:space="preserve">By mapping language shift options onto the marginal and nuclear phases of Reading to Learn interactions, the framework demonstrates that language use is both systematic and pedagogically purposeful, guiding students step by </w:t>
      </w:r>
      <w:r w:rsidR="00445089" w:rsidRPr="00445089">
        <w:lastRenderedPageBreak/>
        <w:t xml:space="preserve">step toward accurate and meaningful responses. This repeated experience of success is not only cognitively enabling but also affectively significant: it fosters confidence, strengthens learner identities as capable meaning-makers, and supports a sense of belonging in academic discourse. In this way, translingual pedagogic design aligns with insights from positive psychology, where structured success builds motivation and agency, and with sociocultural perspectives on identity formation, where participation in valued practices reshapes how learners see themselves. Thus, the system network advances translanguaging as a form of </w:t>
      </w:r>
      <w:r w:rsidR="00445089" w:rsidRPr="007F1007">
        <w:t>positive pedagogic discourse—</w:t>
      </w:r>
      <w:r w:rsidR="00445089" w:rsidRPr="00445089">
        <w:t>one that actively constructs equity, inclusion, and empowerment through carefully scaffolded interaction.</w:t>
      </w:r>
    </w:p>
    <w:p w14:paraId="30B73DBD" w14:textId="77777777" w:rsidR="00A447EA" w:rsidRDefault="00A447EA" w:rsidP="00445089">
      <w:pPr>
        <w:rPr>
          <w:b/>
          <w:bCs/>
          <w:sz w:val="32"/>
          <w:szCs w:val="32"/>
        </w:rPr>
      </w:pPr>
    </w:p>
    <w:p w14:paraId="1CA33854" w14:textId="68CA3745" w:rsidR="00445089" w:rsidRDefault="008346DA" w:rsidP="00445089">
      <w:pPr>
        <w:rPr>
          <w:b/>
          <w:bCs/>
          <w:sz w:val="32"/>
          <w:szCs w:val="32"/>
        </w:rPr>
      </w:pPr>
      <w:r w:rsidRPr="00445089">
        <w:rPr>
          <w:b/>
          <w:bCs/>
          <w:sz w:val="32"/>
          <w:szCs w:val="32"/>
        </w:rPr>
        <w:t xml:space="preserve">Analytical Tool </w:t>
      </w:r>
      <w:r>
        <w:rPr>
          <w:b/>
          <w:bCs/>
          <w:sz w:val="32"/>
          <w:szCs w:val="32"/>
        </w:rPr>
        <w:t>2</w:t>
      </w:r>
      <w:r w:rsidR="003406AB">
        <w:rPr>
          <w:b/>
          <w:bCs/>
          <w:sz w:val="32"/>
          <w:szCs w:val="32"/>
        </w:rPr>
        <w:t xml:space="preserve">: </w:t>
      </w:r>
      <w:r>
        <w:rPr>
          <w:b/>
          <w:bCs/>
          <w:sz w:val="32"/>
          <w:szCs w:val="32"/>
        </w:rPr>
        <w:t xml:space="preserve">LCT Autonomy Analysis </w:t>
      </w:r>
    </w:p>
    <w:p w14:paraId="367FBCCC" w14:textId="7E2B8A73" w:rsidR="00FB09D1" w:rsidRPr="00FB09D1" w:rsidRDefault="00FB09D1" w:rsidP="00FB09D1">
      <w:r w:rsidRPr="00FB09D1">
        <w:t xml:space="preserve">Autonomy analysis starts from a basic idea: any practice can be understood in terms of </w:t>
      </w:r>
      <w:r w:rsidRPr="007E089B">
        <w:rPr>
          <w:i/>
          <w:iCs/>
        </w:rPr>
        <w:t xml:space="preserve">what is being used </w:t>
      </w:r>
      <w:r w:rsidRPr="007E089B">
        <w:t>(its content)</w:t>
      </w:r>
      <w:r w:rsidRPr="007E089B">
        <w:rPr>
          <w:i/>
          <w:iCs/>
        </w:rPr>
        <w:t xml:space="preserve"> and what it is used for </w:t>
      </w:r>
      <w:r w:rsidRPr="007E089B">
        <w:t>(its purpose).</w:t>
      </w:r>
      <w:r>
        <w:t xml:space="preserve"> </w:t>
      </w:r>
      <w:r w:rsidRPr="00FB09D1">
        <w:t>It then helps us see how these contents and purposes relate to each other across different situations.</w:t>
      </w:r>
      <w:r w:rsidR="00A3103E">
        <w:br/>
      </w:r>
    </w:p>
    <w:p w14:paraId="5D7ABFF7" w14:textId="7A1E9D03" w:rsidR="00FB09D1" w:rsidRPr="00FB09D1" w:rsidRDefault="00FB09D1" w:rsidP="00FB09D1">
      <w:pPr>
        <w:numPr>
          <w:ilvl w:val="0"/>
          <w:numId w:val="1"/>
        </w:numPr>
      </w:pPr>
      <w:r w:rsidRPr="00FB09D1">
        <w:rPr>
          <w:b/>
          <w:bCs/>
        </w:rPr>
        <w:t>Positional autonomy (PA)</w:t>
      </w:r>
      <w:r w:rsidRPr="00FB09D1">
        <w:t xml:space="preserve"> looks at the </w:t>
      </w:r>
      <w:r w:rsidRPr="00FB09D1">
        <w:rPr>
          <w:i/>
          <w:iCs/>
        </w:rPr>
        <w:t>content</w:t>
      </w:r>
      <w:r w:rsidRPr="00FB09D1">
        <w:t>:</w:t>
      </w:r>
      <w:r>
        <w:t xml:space="preserve"> </w:t>
      </w:r>
      <w:r w:rsidRPr="00FB09D1">
        <w:t>What language or resource is being used?</w:t>
      </w:r>
      <w:r>
        <w:t xml:space="preserve"> </w:t>
      </w:r>
      <w:r w:rsidRPr="00FB09D1">
        <w:t>(For example, Spanish or English)</w:t>
      </w:r>
    </w:p>
    <w:p w14:paraId="734FA606" w14:textId="69A5BEC8" w:rsidR="00FB09D1" w:rsidRDefault="00FB09D1" w:rsidP="00445089">
      <w:pPr>
        <w:numPr>
          <w:ilvl w:val="0"/>
          <w:numId w:val="1"/>
        </w:numPr>
      </w:pPr>
      <w:r w:rsidRPr="00FB09D1">
        <w:rPr>
          <w:b/>
          <w:bCs/>
        </w:rPr>
        <w:t>Relational autonomy (RA)</w:t>
      </w:r>
      <w:r w:rsidRPr="00FB09D1">
        <w:t xml:space="preserve"> looks at the </w:t>
      </w:r>
      <w:r w:rsidRPr="00FB09D1">
        <w:rPr>
          <w:i/>
          <w:iCs/>
        </w:rPr>
        <w:t>purpose</w:t>
      </w:r>
      <w:r w:rsidRPr="00FB09D1">
        <w:t>:</w:t>
      </w:r>
      <w:r>
        <w:t xml:space="preserve"> </w:t>
      </w:r>
      <w:r w:rsidRPr="00FB09D1">
        <w:t>What is that language being used to do?</w:t>
      </w:r>
      <w:r>
        <w:t xml:space="preserve"> </w:t>
      </w:r>
      <w:r w:rsidRPr="00FB09D1">
        <w:t>(For example, explaining, guiding participation, or giving instructions)</w:t>
      </w:r>
    </w:p>
    <w:p w14:paraId="19C7134F" w14:textId="2C6DA939" w:rsidR="005F649E" w:rsidRDefault="00A3103E" w:rsidP="008A52B0">
      <w:r>
        <w:br/>
      </w:r>
      <w:r w:rsidR="00FB09D1">
        <w:t>In the study of translingual pedagogic discourse, A</w:t>
      </w:r>
      <w:r w:rsidR="00FB09D1" w:rsidRPr="00FB09D1">
        <w:t>utonomy analysis can be understood as a tool for mapping how language is used across a lesson. It focuses on two key questions: (a) which language is being used at a given moment (e.g., the additional language or a shared language), and (b) what pedagogic purpose that language use serves (e.g., building participation, clarifying meaning, explaining procedures, or developing metalinguistic awareness). By tracing these patterns over time, autonomy analysis reveals recurring pathways in classroom interaction—for example, brief shifts into a shared language that support a return to sustained work in the additional language. In this way, language use becomes visible as systematic and purposeful, allowing translanguaging to be understood and developed as a principled pedagogic practice rather than as incidental deviation from monolingual norms.</w:t>
      </w:r>
      <w:r w:rsidR="00FB09D1">
        <w:br/>
      </w:r>
      <w:r>
        <w:br/>
      </w:r>
      <w:r w:rsidR="008A52B0">
        <w:t xml:space="preserve">The autonomy plane allows language use to be analyzed not only in terms of which </w:t>
      </w:r>
      <w:r w:rsidR="008A52B0">
        <w:lastRenderedPageBreak/>
        <w:t>language is used, but also in relation to pedagogic purpose. This makes it possible to trace systematic patterns of movement across a translanguaging continuum.</w:t>
      </w:r>
    </w:p>
    <w:p w14:paraId="75BDBA9C" w14:textId="2A15B818" w:rsidR="000D1120" w:rsidRDefault="00FF3A28" w:rsidP="008A52B0">
      <w:r>
        <w:t xml:space="preserve">The following is the </w:t>
      </w:r>
      <w:r w:rsidR="00130385">
        <w:t xml:space="preserve">autonomy plane and the codes that it generates in each quadrant. </w:t>
      </w:r>
    </w:p>
    <w:p w14:paraId="3CB0C456" w14:textId="77777777" w:rsidR="00130385" w:rsidRDefault="00130385" w:rsidP="008A52B0"/>
    <w:p w14:paraId="21EF9C83" w14:textId="00540C62" w:rsidR="00A3103E" w:rsidRDefault="00A3103E" w:rsidP="00A3103E">
      <w:pPr>
        <w:jc w:val="center"/>
      </w:pPr>
      <w:r w:rsidRPr="00FD57A8">
        <w:rPr>
          <w:rFonts w:ascii="Times New Roman" w:hAnsi="Times New Roman" w:cs="Times New Roman"/>
          <w:noProof/>
        </w:rPr>
        <w:drawing>
          <wp:inline distT="0" distB="0" distL="0" distR="0" wp14:anchorId="336BC752" wp14:editId="6DE6F29A">
            <wp:extent cx="4280400" cy="3798000"/>
            <wp:effectExtent l="0" t="0" r="0" b="0"/>
            <wp:docPr id="187409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09387" name="Picture 187409387"/>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80400" cy="3798000"/>
                    </a:xfrm>
                    <a:prstGeom prst="rect">
                      <a:avLst/>
                    </a:prstGeom>
                    <a:ln>
                      <a:noFill/>
                    </a:ln>
                  </pic:spPr>
                </pic:pic>
              </a:graphicData>
            </a:graphic>
          </wp:inline>
        </w:drawing>
      </w:r>
    </w:p>
    <w:p w14:paraId="134FA300" w14:textId="77777777" w:rsidR="00A3103E" w:rsidRDefault="00A3103E" w:rsidP="00A3103E">
      <w:pPr>
        <w:jc w:val="center"/>
      </w:pPr>
    </w:p>
    <w:p w14:paraId="2A5CD423" w14:textId="77777777" w:rsidR="00130385" w:rsidRDefault="00130385" w:rsidP="004B5765"/>
    <w:p w14:paraId="30C5DEF6" w14:textId="77777777" w:rsidR="004B5765" w:rsidRPr="00FD57A8" w:rsidRDefault="004B5765" w:rsidP="004B5765">
      <w:pPr>
        <w:spacing w:line="480" w:lineRule="auto"/>
        <w:rPr>
          <w:rFonts w:ascii="Times New Roman" w:hAnsi="Times New Roman" w:cs="Times New Roman"/>
          <w:b/>
          <w:bCs/>
          <w:i/>
          <w:iCs/>
        </w:rPr>
      </w:pPr>
      <w:r w:rsidRPr="00FD57A8">
        <w:rPr>
          <w:rFonts w:ascii="Times New Roman" w:hAnsi="Times New Roman" w:cs="Times New Roman"/>
          <w:b/>
          <w:bCs/>
          <w:i/>
          <w:iCs/>
        </w:rPr>
        <w:t>Autonomy pathways</w:t>
      </w:r>
    </w:p>
    <w:p w14:paraId="32074202" w14:textId="78C79087" w:rsidR="004B5765" w:rsidRDefault="004B5765" w:rsidP="004B5765">
      <w:pPr>
        <w:rPr>
          <w:rFonts w:ascii="Times New Roman" w:hAnsi="Times New Roman" w:cs="Times New Roman"/>
        </w:rPr>
      </w:pPr>
      <w:r w:rsidRPr="00FD57A8">
        <w:rPr>
          <w:rFonts w:ascii="Times New Roman" w:hAnsi="Times New Roman" w:cs="Times New Roman"/>
        </w:rPr>
        <w:t>Using these concepts, we can then trace distinctive patterns of change between these codes.</w:t>
      </w:r>
      <w:r>
        <w:rPr>
          <w:rFonts w:ascii="Times New Roman" w:hAnsi="Times New Roman" w:cs="Times New Roman"/>
        </w:rPr>
        <w:t xml:space="preserve"> </w:t>
      </w:r>
      <w:r w:rsidRPr="00FD57A8">
        <w:rPr>
          <w:rFonts w:ascii="Times New Roman" w:hAnsi="Times New Roman" w:cs="Times New Roman"/>
        </w:rPr>
        <w:t xml:space="preserve">These </w:t>
      </w:r>
      <w:r w:rsidRPr="00FD57A8">
        <w:rPr>
          <w:rFonts w:ascii="Times New Roman" w:hAnsi="Times New Roman" w:cs="Times New Roman"/>
          <w:i/>
          <w:iCs/>
        </w:rPr>
        <w:t>autonomy pathways</w:t>
      </w:r>
      <w:r w:rsidRPr="00FD57A8">
        <w:rPr>
          <w:rFonts w:ascii="Times New Roman" w:hAnsi="Times New Roman" w:cs="Times New Roman"/>
        </w:rPr>
        <w:t xml:space="preserve"> (Maton 2018) reveal otherwise invisible patterns that are significant, meaningful and actionable.</w:t>
      </w:r>
      <w:r>
        <w:rPr>
          <w:rFonts w:ascii="Times New Roman" w:hAnsi="Times New Roman" w:cs="Times New Roman"/>
        </w:rPr>
        <w:t xml:space="preserve"> </w:t>
      </w:r>
      <w:r w:rsidRPr="00A3103E">
        <w:rPr>
          <w:rFonts w:ascii="Times New Roman" w:hAnsi="Times New Roman" w:cs="Times New Roman"/>
        </w:rPr>
        <w:t>To begin to illustrate how the autonomy plane may function in an English</w:t>
      </w:r>
      <w:r>
        <w:rPr>
          <w:rFonts w:ascii="Times New Roman" w:hAnsi="Times New Roman" w:cs="Times New Roman"/>
        </w:rPr>
        <w:t>-as-an-additional-language</w:t>
      </w:r>
      <w:r w:rsidRPr="00A3103E">
        <w:rPr>
          <w:rFonts w:ascii="Times New Roman" w:hAnsi="Times New Roman" w:cs="Times New Roman"/>
        </w:rPr>
        <w:t xml:space="preserve"> class for Spanish speakers, such as the one the focus of this </w:t>
      </w:r>
      <w:r w:rsidR="00757EE8">
        <w:rPr>
          <w:rFonts w:ascii="Times New Roman" w:hAnsi="Times New Roman" w:cs="Times New Roman"/>
        </w:rPr>
        <w:t>presentation</w:t>
      </w:r>
      <w:r w:rsidRPr="00A3103E">
        <w:rPr>
          <w:rFonts w:ascii="Times New Roman" w:hAnsi="Times New Roman" w:cs="Times New Roman"/>
        </w:rPr>
        <w:t xml:space="preserve">, consider a brief classroom moment in which the teacher uses Spanish to clarify the meaning of a key English word in a focus text. In this case, positional autonomy is relatively weaker (Spanish contents), but relational autonomy remains relatively strong because the purposes are to support comprehension of English material. On the autonomy plane, this moment (PA–, RA+) would be located in the </w:t>
      </w:r>
      <w:r w:rsidRPr="00A3103E">
        <w:rPr>
          <w:rFonts w:ascii="Times New Roman" w:hAnsi="Times New Roman" w:cs="Times New Roman"/>
          <w:i/>
          <w:iCs/>
        </w:rPr>
        <w:t>introjected code</w:t>
      </w:r>
      <w:r w:rsidRPr="00A3103E">
        <w:rPr>
          <w:rFonts w:ascii="Times New Roman" w:hAnsi="Times New Roman" w:cs="Times New Roman"/>
        </w:rPr>
        <w:t xml:space="preserve"> quadrant as Spanish is used in service of English learning. The point is that such examples, identified in the autonomy plane, help </w:t>
      </w:r>
      <w:r w:rsidRPr="00A3103E">
        <w:rPr>
          <w:rFonts w:ascii="Times New Roman" w:hAnsi="Times New Roman" w:cs="Times New Roman"/>
        </w:rPr>
        <w:lastRenderedPageBreak/>
        <w:t xml:space="preserve">visualize how language shifts can be plotted not only by language choice, but by pedagogic purpose. </w:t>
      </w:r>
      <w:r w:rsidR="005900A3">
        <w:rPr>
          <w:rFonts w:ascii="Times New Roman" w:hAnsi="Times New Roman" w:cs="Times New Roman"/>
        </w:rPr>
        <w:t xml:space="preserve">The </w:t>
      </w:r>
      <w:r w:rsidR="001F0B95">
        <w:rPr>
          <w:rFonts w:ascii="Times New Roman" w:hAnsi="Times New Roman" w:cs="Times New Roman"/>
        </w:rPr>
        <w:t>graphic</w:t>
      </w:r>
      <w:r>
        <w:rPr>
          <w:rFonts w:ascii="Times New Roman" w:hAnsi="Times New Roman" w:cs="Times New Roman"/>
        </w:rPr>
        <w:t xml:space="preserve"> below shows the Autonomy plane with the codes applied to the specific study of translingual classroom discourse. </w:t>
      </w:r>
    </w:p>
    <w:p w14:paraId="5B7C1ADF" w14:textId="77777777" w:rsidR="004B5765" w:rsidRPr="003F0F7F" w:rsidRDefault="004B5765" w:rsidP="004B5765">
      <w:pPr>
        <w:rPr>
          <w:rFonts w:ascii="Times New Roman" w:hAnsi="Times New Roman" w:cs="Times New Roman"/>
        </w:rPr>
      </w:pPr>
    </w:p>
    <w:p w14:paraId="431FB62D" w14:textId="77777777" w:rsidR="004B5765" w:rsidRDefault="004B5765" w:rsidP="004B5765">
      <w:pPr>
        <w:jc w:val="center"/>
      </w:pPr>
      <w:r w:rsidRPr="00FD57A8">
        <w:rPr>
          <w:rFonts w:ascii="Times New Roman" w:hAnsi="Times New Roman" w:cs="Times New Roman"/>
          <w:noProof/>
          <w14:ligatures w14:val="none"/>
        </w:rPr>
        <w:drawing>
          <wp:inline distT="0" distB="0" distL="0" distR="0" wp14:anchorId="41E65706" wp14:editId="325B34E9">
            <wp:extent cx="4280400" cy="3805200"/>
            <wp:effectExtent l="0" t="0" r="0" b="5080"/>
            <wp:docPr id="401428319" name="Picture 2" descr="A diagram of a language le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428319" name="Picture 2" descr="A diagram of a language learning&#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80400" cy="3805200"/>
                    </a:xfrm>
                    <a:prstGeom prst="rect">
                      <a:avLst/>
                    </a:prstGeom>
                  </pic:spPr>
                </pic:pic>
              </a:graphicData>
            </a:graphic>
          </wp:inline>
        </w:drawing>
      </w:r>
    </w:p>
    <w:p w14:paraId="329CBC08" w14:textId="77575DB0" w:rsidR="004B5765" w:rsidRDefault="00B25F54" w:rsidP="004B5765">
      <w:pPr>
        <w:jc w:val="center"/>
      </w:pPr>
      <w:r>
        <w:br/>
        <w:t>(Ramírez &amp; Maton, in review)</w:t>
      </w:r>
    </w:p>
    <w:p w14:paraId="2D1F9C8F" w14:textId="77777777" w:rsidR="004B5765" w:rsidRDefault="004B5765" w:rsidP="004B5765"/>
    <w:p w14:paraId="62B7F8A5" w14:textId="77777777" w:rsidR="00FE57EE" w:rsidRPr="006D2928" w:rsidRDefault="00FE57EE" w:rsidP="006D2928">
      <w:pPr>
        <w:spacing w:line="480" w:lineRule="auto"/>
        <w:rPr>
          <w:rFonts w:ascii="Times New Roman" w:hAnsi="Times New Roman" w:cs="Times New Roman"/>
          <w:b/>
          <w:bCs/>
          <w:i/>
          <w:iCs/>
        </w:rPr>
      </w:pPr>
      <w:r w:rsidRPr="006D2928">
        <w:rPr>
          <w:rFonts w:ascii="Times New Roman" w:hAnsi="Times New Roman" w:cs="Times New Roman"/>
          <w:b/>
          <w:bCs/>
          <w:i/>
          <w:iCs/>
        </w:rPr>
        <w:t>Translation Devices</w:t>
      </w:r>
    </w:p>
    <w:p w14:paraId="46CAB49F" w14:textId="35674C93" w:rsidR="00FE57EE" w:rsidRDefault="00FE57EE" w:rsidP="00FE57EE">
      <w:pPr>
        <w:pStyle w:val="NormalWeb"/>
      </w:pPr>
      <w:r>
        <w:t>Transl</w:t>
      </w:r>
      <w:r w:rsidR="006D2928">
        <w:t>a</w:t>
      </w:r>
      <w:r>
        <w:t>tion devices operationalize autonomy analysis by linking abstract concepts</w:t>
      </w:r>
      <w:r w:rsidR="00CF398A">
        <w:t>,</w:t>
      </w:r>
      <w:r>
        <w:t xml:space="preserve"> such as positional and relational autonomy</w:t>
      </w:r>
      <w:r w:rsidR="00CF398A">
        <w:t>,</w:t>
      </w:r>
      <w:r>
        <w:t xml:space="preserve"> to observable classroom interaction</w:t>
      </w:r>
      <w:r w:rsidR="00CF398A">
        <w:t>s</w:t>
      </w:r>
      <w:r>
        <w:t xml:space="preserve">. In translingual pedagogy, they </w:t>
      </w:r>
      <w:r w:rsidR="00CF398A">
        <w:t>ena</w:t>
      </w:r>
      <w:r>
        <w:t xml:space="preserve">ble </w:t>
      </w:r>
      <w:r w:rsidR="00CF398A">
        <w:t>systematic</w:t>
      </w:r>
      <w:r>
        <w:t xml:space="preserve"> </w:t>
      </w:r>
      <w:r w:rsidR="00CF398A">
        <w:t>tracing</w:t>
      </w:r>
      <w:r>
        <w:t xml:space="preserve"> </w:t>
      </w:r>
      <w:r w:rsidR="00CF398A">
        <w:t>of</w:t>
      </w:r>
      <w:r>
        <w:t xml:space="preserve"> how language shifts relate to pedagogic purposes across lessons.</w:t>
      </w:r>
    </w:p>
    <w:p w14:paraId="797B4F05" w14:textId="77777777" w:rsidR="003F0F7F" w:rsidRDefault="003F0F7F" w:rsidP="003F0F7F">
      <w:pPr>
        <w:sectPr w:rsidR="003F0F7F" w:rsidSect="007900B1">
          <w:headerReference w:type="first" r:id="rId11"/>
          <w:pgSz w:w="12240" w:h="15840"/>
          <w:pgMar w:top="1440" w:right="1440" w:bottom="1440" w:left="1440" w:header="720" w:footer="720" w:gutter="0"/>
          <w:cols w:space="720"/>
          <w:titlePg/>
          <w:docGrid w:linePitch="360"/>
        </w:sectPr>
      </w:pPr>
    </w:p>
    <w:p w14:paraId="28E522F8" w14:textId="77777777" w:rsidR="003F0F7F" w:rsidRDefault="003F0F7F" w:rsidP="003F0F7F"/>
    <w:p w14:paraId="66078471" w14:textId="1C00C77E" w:rsidR="003F0F7F" w:rsidRPr="007900B1" w:rsidRDefault="007900B1" w:rsidP="003F0F7F">
      <w:pPr>
        <w:rPr>
          <w:b/>
          <w:bCs/>
        </w:rPr>
      </w:pPr>
      <w:r>
        <w:rPr>
          <w:b/>
          <w:bCs/>
        </w:rPr>
        <w:t xml:space="preserve">Table 4. </w:t>
      </w:r>
      <w:r w:rsidR="003F0F7F" w:rsidRPr="007900B1">
        <w:rPr>
          <w:b/>
          <w:bCs/>
        </w:rPr>
        <w:t>Translation Device for posit</w:t>
      </w:r>
      <w:r w:rsidRPr="007900B1">
        <w:rPr>
          <w:b/>
          <w:bCs/>
        </w:rPr>
        <w:t xml:space="preserve">ional autonomy for </w:t>
      </w:r>
      <w:r w:rsidR="003F0F7F" w:rsidRPr="007900B1">
        <w:rPr>
          <w:b/>
          <w:bCs/>
        </w:rPr>
        <w:t xml:space="preserve">Illustrative Study </w:t>
      </w:r>
      <w:r>
        <w:rPr>
          <w:b/>
          <w:bCs/>
        </w:rPr>
        <w:br/>
      </w:r>
    </w:p>
    <w:p w14:paraId="539F705C" w14:textId="26A650CA" w:rsidR="003F0F7F" w:rsidRPr="003F0F7F" w:rsidRDefault="003F0F7F" w:rsidP="003F0F7F">
      <w:r w:rsidRPr="00FD57A8">
        <w:rPr>
          <w:rFonts w:ascii="Times New Roman" w:hAnsi="Times New Roman" w:cs="Times New Roman"/>
          <w:b/>
          <w:bCs/>
          <w:noProof/>
          <w14:ligatures w14:val="none"/>
        </w:rPr>
        <w:drawing>
          <wp:inline distT="0" distB="0" distL="0" distR="0" wp14:anchorId="55762747" wp14:editId="4FBA43A0">
            <wp:extent cx="8229600" cy="4437310"/>
            <wp:effectExtent l="0" t="0" r="0" b="0"/>
            <wp:docPr id="2051356035" name="Picture 1" descr="A table of text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356035" name="Picture 1" descr="A table of text on a white surfac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229600" cy="4437310"/>
                    </a:xfrm>
                    <a:prstGeom prst="rect">
                      <a:avLst/>
                    </a:prstGeom>
                  </pic:spPr>
                </pic:pic>
              </a:graphicData>
            </a:graphic>
          </wp:inline>
        </w:drawing>
      </w:r>
    </w:p>
    <w:p w14:paraId="56CE9694" w14:textId="5D811832" w:rsidR="003F0F7F" w:rsidRPr="003F0F7F" w:rsidRDefault="003F0F7F" w:rsidP="003F0F7F"/>
    <w:p w14:paraId="64F1E9B0" w14:textId="6C73DBB9" w:rsidR="007900B1" w:rsidRPr="007900B1" w:rsidRDefault="007900B1" w:rsidP="007900B1">
      <w:pPr>
        <w:rPr>
          <w:b/>
          <w:bCs/>
        </w:rPr>
      </w:pPr>
      <w:r>
        <w:rPr>
          <w:b/>
          <w:bCs/>
        </w:rPr>
        <w:lastRenderedPageBreak/>
        <w:br/>
        <w:t xml:space="preserve">Table 5. </w:t>
      </w:r>
      <w:r w:rsidRPr="007900B1">
        <w:rPr>
          <w:b/>
          <w:bCs/>
        </w:rPr>
        <w:t>Translation Device for</w:t>
      </w:r>
      <w:r>
        <w:rPr>
          <w:b/>
          <w:bCs/>
        </w:rPr>
        <w:t xml:space="preserve"> relati</w:t>
      </w:r>
      <w:r w:rsidRPr="007900B1">
        <w:rPr>
          <w:b/>
          <w:bCs/>
        </w:rPr>
        <w:t xml:space="preserve">onal autonomy for Illustrative Study </w:t>
      </w:r>
    </w:p>
    <w:p w14:paraId="172D973D" w14:textId="77777777" w:rsidR="003F0F7F" w:rsidRDefault="003F0F7F" w:rsidP="003F0F7F"/>
    <w:p w14:paraId="539D0DE7" w14:textId="4B2B2C7C" w:rsidR="007900B1" w:rsidRPr="00000570" w:rsidRDefault="007900B1" w:rsidP="003F0F7F">
      <w:r w:rsidRPr="00FD57A8">
        <w:rPr>
          <w:rFonts w:ascii="Times New Roman" w:hAnsi="Times New Roman" w:cs="Times New Roman"/>
          <w:b/>
          <w:bCs/>
          <w:noProof/>
          <w14:ligatures w14:val="none"/>
        </w:rPr>
        <w:drawing>
          <wp:inline distT="0" distB="0" distL="0" distR="0" wp14:anchorId="52567B85" wp14:editId="060382B6">
            <wp:extent cx="8229600" cy="4199883"/>
            <wp:effectExtent l="0" t="0" r="0" b="4445"/>
            <wp:docPr id="25042276" name="Picture 2" descr="A table of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2276" name="Picture 2" descr="A table of text with black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229600" cy="4199883"/>
                    </a:xfrm>
                    <a:prstGeom prst="rect">
                      <a:avLst/>
                    </a:prstGeom>
                  </pic:spPr>
                </pic:pic>
              </a:graphicData>
            </a:graphic>
          </wp:inline>
        </w:drawing>
      </w:r>
    </w:p>
    <w:sectPr w:rsidR="007900B1" w:rsidRPr="00000570" w:rsidSect="003F0F7F">
      <w:pgSz w:w="15840" w:h="1222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56D71" w14:textId="77777777" w:rsidR="00E24913" w:rsidRDefault="00E24913" w:rsidP="00336564">
      <w:pPr>
        <w:spacing w:after="0" w:line="240" w:lineRule="auto"/>
      </w:pPr>
      <w:r>
        <w:separator/>
      </w:r>
    </w:p>
  </w:endnote>
  <w:endnote w:type="continuationSeparator" w:id="0">
    <w:p w14:paraId="671327E9" w14:textId="77777777" w:rsidR="00E24913" w:rsidRDefault="00E24913" w:rsidP="00336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D94C6" w14:textId="77777777" w:rsidR="00E24913" w:rsidRDefault="00E24913" w:rsidP="00336564">
      <w:pPr>
        <w:spacing w:after="0" w:line="240" w:lineRule="auto"/>
      </w:pPr>
      <w:r>
        <w:separator/>
      </w:r>
    </w:p>
  </w:footnote>
  <w:footnote w:type="continuationSeparator" w:id="0">
    <w:p w14:paraId="51239DEF" w14:textId="77777777" w:rsidR="00E24913" w:rsidRDefault="00E24913" w:rsidP="00336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96B9C" w14:textId="07334215" w:rsidR="007900B1" w:rsidRPr="00B51279" w:rsidRDefault="00B51279" w:rsidP="00CD39E9">
    <w:pPr>
      <w:pStyle w:val="Header"/>
      <w:jc w:val="right"/>
    </w:pPr>
    <w:r>
      <w:rPr>
        <w:lang w:val="es-419"/>
      </w:rPr>
      <w:t xml:space="preserve">Andrés </w:t>
    </w:r>
    <w:r w:rsidR="001229D2" w:rsidRPr="00B51279">
      <w:rPr>
        <w:lang w:val="es-419"/>
      </w:rPr>
      <w:t>Ram</w:t>
    </w:r>
    <w:r w:rsidRPr="00B51279">
      <w:rPr>
        <w:lang w:val="es-419"/>
      </w:rPr>
      <w:t xml:space="preserve">írez, </w:t>
    </w:r>
    <w:r>
      <w:rPr>
        <w:lang w:val="es-419"/>
      </w:rPr>
      <w:t xml:space="preserve">Yuly Andrea </w:t>
    </w:r>
    <w:r w:rsidRPr="00B51279">
      <w:rPr>
        <w:lang w:val="es-419"/>
      </w:rPr>
      <w:t xml:space="preserve">González, </w:t>
    </w:r>
    <w:r>
      <w:rPr>
        <w:lang w:val="es-419"/>
      </w:rPr>
      <w:t xml:space="preserve">Cristian David </w:t>
    </w:r>
    <w:r w:rsidRPr="00B51279">
      <w:rPr>
        <w:lang w:val="es-419"/>
      </w:rPr>
      <w:t>Londoño</w:t>
    </w:r>
    <w:r w:rsidRPr="00B51279">
      <w:rPr>
        <w:lang w:val="es-419"/>
      </w:rPr>
      <w:br/>
      <w:t>Prepared for Universidad Complutense, Madrid</w:t>
    </w:r>
    <w:r w:rsidR="003035B4">
      <w:rPr>
        <w:lang w:val="es-419"/>
      </w:rPr>
      <w:t>.</w:t>
    </w:r>
    <w:r w:rsidR="00CD39E9" w:rsidRPr="00CD39E9">
      <w:rPr>
        <w:lang w:val="es-419"/>
      </w:rPr>
      <w:t xml:space="preserve"> </w:t>
    </w:r>
    <w:r w:rsidR="00CD39E9" w:rsidRPr="00B51279">
      <w:rPr>
        <w:lang w:val="es-419"/>
      </w:rPr>
      <w:t>May 15, 2026</w:t>
    </w:r>
    <w:r w:rsidR="003035B4">
      <w:rPr>
        <w:lang w:val="es-419"/>
      </w:rPr>
      <w:t xml:space="preserve"> </w:t>
    </w:r>
    <w:r w:rsidR="003A64AB">
      <w:rPr>
        <w:lang w:val="es-419"/>
      </w:rPr>
      <w:br/>
      <w:t>Master</w:t>
    </w:r>
    <w:r w:rsidR="00CD39E9">
      <w:rPr>
        <w:lang w:val="es-419"/>
      </w:rPr>
      <w:t>’s</w:t>
    </w:r>
    <w:r w:rsidR="003A64AB">
      <w:rPr>
        <w:lang w:val="es-419"/>
      </w:rPr>
      <w:t xml:space="preserve"> in Systemic Functional Lingu</w:t>
    </w:r>
    <w:r w:rsidR="00CD39E9">
      <w:rPr>
        <w:lang w:val="es-419"/>
      </w:rPr>
      <w:t>isti</w:t>
    </w:r>
    <w:r w:rsidR="003A64AB">
      <w:rPr>
        <w:lang w:val="es-419"/>
      </w:rPr>
      <w:t>cs</w:t>
    </w:r>
    <w:r w:rsidR="00CD39E9">
      <w:rPr>
        <w:lang w:val="es-419"/>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D2303"/>
    <w:multiLevelType w:val="hybridMultilevel"/>
    <w:tmpl w:val="C3845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97F"/>
    <w:multiLevelType w:val="multilevel"/>
    <w:tmpl w:val="0A86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4568B1"/>
    <w:multiLevelType w:val="multilevel"/>
    <w:tmpl w:val="3468D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D596C"/>
    <w:multiLevelType w:val="multilevel"/>
    <w:tmpl w:val="75D28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DC15DD"/>
    <w:multiLevelType w:val="hybridMultilevel"/>
    <w:tmpl w:val="E8362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034839">
    <w:abstractNumId w:val="2"/>
  </w:num>
  <w:num w:numId="2" w16cid:durableId="1257055467">
    <w:abstractNumId w:val="1"/>
  </w:num>
  <w:num w:numId="3" w16cid:durableId="1966934306">
    <w:abstractNumId w:val="0"/>
  </w:num>
  <w:num w:numId="4" w16cid:durableId="2101564033">
    <w:abstractNumId w:val="4"/>
  </w:num>
  <w:num w:numId="5" w16cid:durableId="1181745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564"/>
    <w:rsid w:val="00000570"/>
    <w:rsid w:val="00021E30"/>
    <w:rsid w:val="00030992"/>
    <w:rsid w:val="00051FB8"/>
    <w:rsid w:val="00062611"/>
    <w:rsid w:val="000723EF"/>
    <w:rsid w:val="000A2F2D"/>
    <w:rsid w:val="000A4BBC"/>
    <w:rsid w:val="000C4887"/>
    <w:rsid w:val="000C5633"/>
    <w:rsid w:val="000D1120"/>
    <w:rsid w:val="000D2DCD"/>
    <w:rsid w:val="000D3511"/>
    <w:rsid w:val="001058EF"/>
    <w:rsid w:val="00115B08"/>
    <w:rsid w:val="001229D2"/>
    <w:rsid w:val="00130385"/>
    <w:rsid w:val="00175741"/>
    <w:rsid w:val="001A3541"/>
    <w:rsid w:val="001F0B95"/>
    <w:rsid w:val="00205B5F"/>
    <w:rsid w:val="00216BA3"/>
    <w:rsid w:val="002A1205"/>
    <w:rsid w:val="002A7D4B"/>
    <w:rsid w:val="002C41DF"/>
    <w:rsid w:val="002F539B"/>
    <w:rsid w:val="003035B4"/>
    <w:rsid w:val="00311C6C"/>
    <w:rsid w:val="003304B8"/>
    <w:rsid w:val="00336564"/>
    <w:rsid w:val="003406AB"/>
    <w:rsid w:val="003574D3"/>
    <w:rsid w:val="00361BCE"/>
    <w:rsid w:val="00373BF2"/>
    <w:rsid w:val="0037606C"/>
    <w:rsid w:val="003A21CF"/>
    <w:rsid w:val="003A64AB"/>
    <w:rsid w:val="003D4560"/>
    <w:rsid w:val="003D5869"/>
    <w:rsid w:val="003D5A16"/>
    <w:rsid w:val="003E496A"/>
    <w:rsid w:val="003F0F7F"/>
    <w:rsid w:val="003F5A5E"/>
    <w:rsid w:val="00421739"/>
    <w:rsid w:val="004229CD"/>
    <w:rsid w:val="00427E47"/>
    <w:rsid w:val="00443ED0"/>
    <w:rsid w:val="00445089"/>
    <w:rsid w:val="0045791D"/>
    <w:rsid w:val="00465257"/>
    <w:rsid w:val="004662C0"/>
    <w:rsid w:val="004B4758"/>
    <w:rsid w:val="004B5765"/>
    <w:rsid w:val="004D58F2"/>
    <w:rsid w:val="005044AA"/>
    <w:rsid w:val="00504642"/>
    <w:rsid w:val="00527BA6"/>
    <w:rsid w:val="00537552"/>
    <w:rsid w:val="00546669"/>
    <w:rsid w:val="00551A74"/>
    <w:rsid w:val="00564861"/>
    <w:rsid w:val="005702BB"/>
    <w:rsid w:val="005900A3"/>
    <w:rsid w:val="005C5719"/>
    <w:rsid w:val="005E2339"/>
    <w:rsid w:val="005F649E"/>
    <w:rsid w:val="0060454D"/>
    <w:rsid w:val="00611C5C"/>
    <w:rsid w:val="00653576"/>
    <w:rsid w:val="00657997"/>
    <w:rsid w:val="006931C6"/>
    <w:rsid w:val="006956D5"/>
    <w:rsid w:val="006D0DFE"/>
    <w:rsid w:val="006D2928"/>
    <w:rsid w:val="006E3211"/>
    <w:rsid w:val="00720E1C"/>
    <w:rsid w:val="0075195D"/>
    <w:rsid w:val="00757EE8"/>
    <w:rsid w:val="007746C5"/>
    <w:rsid w:val="007900B1"/>
    <w:rsid w:val="00794A96"/>
    <w:rsid w:val="007B109B"/>
    <w:rsid w:val="007E089B"/>
    <w:rsid w:val="007F1007"/>
    <w:rsid w:val="007F7368"/>
    <w:rsid w:val="008020E7"/>
    <w:rsid w:val="00807AFE"/>
    <w:rsid w:val="00813E2F"/>
    <w:rsid w:val="0082675C"/>
    <w:rsid w:val="008346DA"/>
    <w:rsid w:val="0086179C"/>
    <w:rsid w:val="00861EEB"/>
    <w:rsid w:val="00891736"/>
    <w:rsid w:val="008945F1"/>
    <w:rsid w:val="008A52B0"/>
    <w:rsid w:val="008A70DB"/>
    <w:rsid w:val="008B39C3"/>
    <w:rsid w:val="008B6845"/>
    <w:rsid w:val="008C30FE"/>
    <w:rsid w:val="00952D2A"/>
    <w:rsid w:val="0099052A"/>
    <w:rsid w:val="009B0DD1"/>
    <w:rsid w:val="009C0C61"/>
    <w:rsid w:val="00A018A9"/>
    <w:rsid w:val="00A30BF5"/>
    <w:rsid w:val="00A3103E"/>
    <w:rsid w:val="00A31703"/>
    <w:rsid w:val="00A40F77"/>
    <w:rsid w:val="00A421D7"/>
    <w:rsid w:val="00A447EA"/>
    <w:rsid w:val="00A67628"/>
    <w:rsid w:val="00A87B74"/>
    <w:rsid w:val="00AA394F"/>
    <w:rsid w:val="00AA414F"/>
    <w:rsid w:val="00AD4A64"/>
    <w:rsid w:val="00AE607B"/>
    <w:rsid w:val="00B25F54"/>
    <w:rsid w:val="00B335F3"/>
    <w:rsid w:val="00B51279"/>
    <w:rsid w:val="00B51DD1"/>
    <w:rsid w:val="00B52557"/>
    <w:rsid w:val="00B82444"/>
    <w:rsid w:val="00B9067F"/>
    <w:rsid w:val="00BF3CD9"/>
    <w:rsid w:val="00BF7672"/>
    <w:rsid w:val="00C07F90"/>
    <w:rsid w:val="00C1504B"/>
    <w:rsid w:val="00C33D32"/>
    <w:rsid w:val="00C81034"/>
    <w:rsid w:val="00CA27C7"/>
    <w:rsid w:val="00CA59F0"/>
    <w:rsid w:val="00CD3419"/>
    <w:rsid w:val="00CD39E9"/>
    <w:rsid w:val="00CE3C55"/>
    <w:rsid w:val="00CE4E05"/>
    <w:rsid w:val="00CF398A"/>
    <w:rsid w:val="00D101B3"/>
    <w:rsid w:val="00D22720"/>
    <w:rsid w:val="00D84AA3"/>
    <w:rsid w:val="00D86AC7"/>
    <w:rsid w:val="00DA55D4"/>
    <w:rsid w:val="00DB7223"/>
    <w:rsid w:val="00DD5ACB"/>
    <w:rsid w:val="00DF25F2"/>
    <w:rsid w:val="00DF7A04"/>
    <w:rsid w:val="00E24913"/>
    <w:rsid w:val="00E2687F"/>
    <w:rsid w:val="00E2776E"/>
    <w:rsid w:val="00E433BD"/>
    <w:rsid w:val="00E65E59"/>
    <w:rsid w:val="00E8394F"/>
    <w:rsid w:val="00EA6F63"/>
    <w:rsid w:val="00EC5DEA"/>
    <w:rsid w:val="00ED54F9"/>
    <w:rsid w:val="00F1075F"/>
    <w:rsid w:val="00F36143"/>
    <w:rsid w:val="00F62285"/>
    <w:rsid w:val="00F720E2"/>
    <w:rsid w:val="00F82B56"/>
    <w:rsid w:val="00F94312"/>
    <w:rsid w:val="00FA07D0"/>
    <w:rsid w:val="00FB09D1"/>
    <w:rsid w:val="00FC461F"/>
    <w:rsid w:val="00FD5205"/>
    <w:rsid w:val="00FE57EE"/>
    <w:rsid w:val="00FF3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0AAE1CA"/>
  <w15:chartTrackingRefBased/>
  <w15:docId w15:val="{505FD670-E8D1-5C4B-B648-7031A0D64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5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65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365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65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65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65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5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5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5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6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36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6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6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6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564"/>
    <w:rPr>
      <w:rFonts w:eastAsiaTheme="majorEastAsia" w:cstheme="majorBidi"/>
      <w:color w:val="272727" w:themeColor="text1" w:themeTint="D8"/>
    </w:rPr>
  </w:style>
  <w:style w:type="paragraph" w:styleId="Title">
    <w:name w:val="Title"/>
    <w:basedOn w:val="Normal"/>
    <w:next w:val="Normal"/>
    <w:link w:val="TitleChar"/>
    <w:uiPriority w:val="10"/>
    <w:qFormat/>
    <w:rsid w:val="00336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564"/>
    <w:pPr>
      <w:spacing w:before="160"/>
      <w:jc w:val="center"/>
    </w:pPr>
    <w:rPr>
      <w:i/>
      <w:iCs/>
      <w:color w:val="404040" w:themeColor="text1" w:themeTint="BF"/>
    </w:rPr>
  </w:style>
  <w:style w:type="character" w:customStyle="1" w:styleId="QuoteChar">
    <w:name w:val="Quote Char"/>
    <w:basedOn w:val="DefaultParagraphFont"/>
    <w:link w:val="Quote"/>
    <w:uiPriority w:val="29"/>
    <w:rsid w:val="00336564"/>
    <w:rPr>
      <w:i/>
      <w:iCs/>
      <w:color w:val="404040" w:themeColor="text1" w:themeTint="BF"/>
    </w:rPr>
  </w:style>
  <w:style w:type="paragraph" w:styleId="ListParagraph">
    <w:name w:val="List Paragraph"/>
    <w:basedOn w:val="Normal"/>
    <w:uiPriority w:val="34"/>
    <w:qFormat/>
    <w:rsid w:val="00336564"/>
    <w:pPr>
      <w:ind w:left="720"/>
      <w:contextualSpacing/>
    </w:pPr>
  </w:style>
  <w:style w:type="character" w:styleId="IntenseEmphasis">
    <w:name w:val="Intense Emphasis"/>
    <w:basedOn w:val="DefaultParagraphFont"/>
    <w:uiPriority w:val="21"/>
    <w:qFormat/>
    <w:rsid w:val="00336564"/>
    <w:rPr>
      <w:i/>
      <w:iCs/>
      <w:color w:val="0F4761" w:themeColor="accent1" w:themeShade="BF"/>
    </w:rPr>
  </w:style>
  <w:style w:type="paragraph" w:styleId="IntenseQuote">
    <w:name w:val="Intense Quote"/>
    <w:basedOn w:val="Normal"/>
    <w:next w:val="Normal"/>
    <w:link w:val="IntenseQuoteChar"/>
    <w:uiPriority w:val="30"/>
    <w:qFormat/>
    <w:rsid w:val="003365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6564"/>
    <w:rPr>
      <w:i/>
      <w:iCs/>
      <w:color w:val="0F4761" w:themeColor="accent1" w:themeShade="BF"/>
    </w:rPr>
  </w:style>
  <w:style w:type="character" w:styleId="IntenseReference">
    <w:name w:val="Intense Reference"/>
    <w:basedOn w:val="DefaultParagraphFont"/>
    <w:uiPriority w:val="32"/>
    <w:qFormat/>
    <w:rsid w:val="00336564"/>
    <w:rPr>
      <w:b/>
      <w:bCs/>
      <w:smallCaps/>
      <w:color w:val="0F4761" w:themeColor="accent1" w:themeShade="BF"/>
      <w:spacing w:val="5"/>
    </w:rPr>
  </w:style>
  <w:style w:type="paragraph" w:styleId="Header">
    <w:name w:val="header"/>
    <w:basedOn w:val="Normal"/>
    <w:link w:val="HeaderChar"/>
    <w:uiPriority w:val="99"/>
    <w:unhideWhenUsed/>
    <w:rsid w:val="00336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6564"/>
  </w:style>
  <w:style w:type="paragraph" w:styleId="Footer">
    <w:name w:val="footer"/>
    <w:basedOn w:val="Normal"/>
    <w:link w:val="FooterChar"/>
    <w:uiPriority w:val="99"/>
    <w:unhideWhenUsed/>
    <w:rsid w:val="00336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6564"/>
  </w:style>
  <w:style w:type="paragraph" w:styleId="NormalWeb">
    <w:name w:val="Normal (Web)"/>
    <w:basedOn w:val="Normal"/>
    <w:uiPriority w:val="99"/>
    <w:unhideWhenUsed/>
    <w:rsid w:val="0075195D"/>
    <w:pPr>
      <w:spacing w:before="100" w:beforeAutospacing="1" w:after="100" w:afterAutospacing="1" w:line="240" w:lineRule="auto"/>
    </w:pPr>
    <w:rPr>
      <w:rFonts w:ascii="Times New Roman" w:eastAsia="Times New Roman" w:hAnsi="Times New Roman" w:cs="Times New Roman"/>
      <w:kern w:val="0"/>
      <w14:ligatures w14:val="none"/>
    </w:rPr>
  </w:style>
  <w:style w:type="table" w:styleId="GridTable1Light">
    <w:name w:val="Grid Table 1 Light"/>
    <w:basedOn w:val="TableNormal"/>
    <w:uiPriority w:val="46"/>
    <w:rsid w:val="0075195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0C5633"/>
    <w:pPr>
      <w:spacing w:after="0" w:line="240" w:lineRule="auto"/>
    </w:pPr>
    <w:rPr>
      <w:kern w:val="0"/>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alignment-element">
    <w:name w:val="ts-alignment-element"/>
    <w:basedOn w:val="DefaultParagraphFont"/>
    <w:rsid w:val="000C5633"/>
  </w:style>
  <w:style w:type="character" w:customStyle="1" w:styleId="ts-alignment-element-highlighted">
    <w:name w:val="ts-alignment-element-highlighted"/>
    <w:basedOn w:val="DefaultParagraphFont"/>
    <w:rsid w:val="000C5633"/>
  </w:style>
  <w:style w:type="character" w:styleId="Strong">
    <w:name w:val="Strong"/>
    <w:basedOn w:val="DefaultParagraphFont"/>
    <w:uiPriority w:val="22"/>
    <w:qFormat/>
    <w:rsid w:val="007F1007"/>
    <w:rPr>
      <w:b/>
      <w:bCs/>
    </w:rPr>
  </w:style>
  <w:style w:type="character" w:styleId="Hyperlink">
    <w:name w:val="Hyperlink"/>
    <w:basedOn w:val="DefaultParagraphFont"/>
    <w:uiPriority w:val="99"/>
    <w:unhideWhenUsed/>
    <w:rsid w:val="007900B1"/>
    <w:rPr>
      <w:color w:val="467886" w:themeColor="hyperlink"/>
      <w:u w:val="single"/>
    </w:rPr>
  </w:style>
  <w:style w:type="character" w:styleId="UnresolvedMention">
    <w:name w:val="Unresolved Mention"/>
    <w:basedOn w:val="DefaultParagraphFont"/>
    <w:uiPriority w:val="99"/>
    <w:semiHidden/>
    <w:unhideWhenUsed/>
    <w:rsid w:val="00790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55</TotalTime>
  <Pages>9</Pages>
  <Words>1625</Words>
  <Characters>9266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Ramirez Agudelo</dc:creator>
  <cp:keywords/>
  <dc:description/>
  <cp:lastModifiedBy>Andres Ramirez Agudelo</cp:lastModifiedBy>
  <cp:revision>67</cp:revision>
  <dcterms:created xsi:type="dcterms:W3CDTF">2026-05-08T20:38:00Z</dcterms:created>
  <dcterms:modified xsi:type="dcterms:W3CDTF">2026-05-12T00:27:00Z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D93424D8-C11C-4F95-A85A-CDCAB128807B</vt:lpwstr>
  </property>
</Properties>
</file>