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7B71" w:rsidRPr="00B14153" w:rsidRDefault="00B14153" w:rsidP="004221F2">
      <w:pPr>
        <w:spacing w:line="276" w:lineRule="auto"/>
        <w:jc w:val="both"/>
        <w:rPr>
          <w:rFonts w:cstheme="minorHAnsi"/>
          <w:b/>
          <w:sz w:val="24"/>
          <w:szCs w:val="24"/>
        </w:rPr>
      </w:pPr>
      <w:r w:rsidRPr="00B14153">
        <w:rPr>
          <w:rFonts w:cstheme="minorHAnsi"/>
          <w:b/>
          <w:sz w:val="24"/>
          <w:szCs w:val="24"/>
        </w:rPr>
        <w:t xml:space="preserve">ESPECIALIDADES PROCEDIMIENTALES APLICABLES A </w:t>
      </w:r>
      <w:r w:rsidR="000502EB">
        <w:rPr>
          <w:rFonts w:cstheme="minorHAnsi"/>
          <w:b/>
          <w:sz w:val="24"/>
          <w:szCs w:val="24"/>
        </w:rPr>
        <w:t>L</w:t>
      </w:r>
      <w:r w:rsidRPr="00B14153">
        <w:rPr>
          <w:rFonts w:cstheme="minorHAnsi"/>
          <w:b/>
          <w:sz w:val="24"/>
          <w:szCs w:val="24"/>
        </w:rPr>
        <w:t>OS CONTRATOS FINANCIADOS CON FONDOS PERTE</w:t>
      </w:r>
      <w:r w:rsidR="00E16965">
        <w:rPr>
          <w:rFonts w:cstheme="minorHAnsi"/>
          <w:b/>
          <w:sz w:val="24"/>
          <w:szCs w:val="24"/>
        </w:rPr>
        <w:t>.</w:t>
      </w:r>
    </w:p>
    <w:p w:rsidR="00353A2F" w:rsidRDefault="00353A2F" w:rsidP="00B14153">
      <w:pPr>
        <w:spacing w:after="0" w:line="276" w:lineRule="auto"/>
        <w:jc w:val="both"/>
        <w:rPr>
          <w:rFonts w:eastAsia="Times New Roman" w:cstheme="minorHAnsi"/>
          <w:b/>
          <w:color w:val="000000"/>
          <w:sz w:val="24"/>
          <w:szCs w:val="24"/>
          <w:lang w:eastAsia="es-ES"/>
        </w:rPr>
      </w:pPr>
    </w:p>
    <w:p w:rsidR="00501260" w:rsidRPr="00B14153" w:rsidRDefault="00353A2F" w:rsidP="00B14153">
      <w:pPr>
        <w:spacing w:after="0" w:line="276" w:lineRule="auto"/>
        <w:jc w:val="both"/>
        <w:rPr>
          <w:rFonts w:eastAsia="Times New Roman" w:cstheme="minorHAnsi"/>
          <w:sz w:val="24"/>
          <w:szCs w:val="24"/>
          <w:lang w:eastAsia="es-ES"/>
        </w:rPr>
      </w:pPr>
      <w:r>
        <w:rPr>
          <w:rFonts w:eastAsia="Times New Roman" w:cstheme="minorHAnsi"/>
          <w:b/>
          <w:color w:val="000000"/>
          <w:sz w:val="24"/>
          <w:szCs w:val="24"/>
          <w:lang w:eastAsia="es-ES"/>
        </w:rPr>
        <w:t xml:space="preserve">A) </w:t>
      </w:r>
      <w:r w:rsidR="007C5A51">
        <w:rPr>
          <w:rFonts w:eastAsia="Times New Roman" w:cstheme="minorHAnsi"/>
          <w:b/>
          <w:color w:val="000000"/>
          <w:sz w:val="24"/>
          <w:szCs w:val="24"/>
          <w:lang w:eastAsia="es-ES"/>
        </w:rPr>
        <w:t>Procedimientos aplicables según las cuantías</w:t>
      </w:r>
      <w:r w:rsidR="00501260" w:rsidRPr="00B14153">
        <w:rPr>
          <w:rFonts w:eastAsia="Times New Roman" w:cstheme="minorHAnsi"/>
          <w:color w:val="000000"/>
          <w:sz w:val="24"/>
          <w:szCs w:val="24"/>
          <w:lang w:eastAsia="es-ES"/>
        </w:rPr>
        <w:t xml:space="preserve"> (arts. 51 y 52</w:t>
      </w:r>
      <w:r w:rsidR="00B14153">
        <w:rPr>
          <w:rFonts w:eastAsia="Times New Roman" w:cstheme="minorHAnsi"/>
          <w:color w:val="000000"/>
          <w:sz w:val="24"/>
          <w:szCs w:val="24"/>
          <w:lang w:eastAsia="es-ES"/>
        </w:rPr>
        <w:t xml:space="preserve"> RDL 36/2020)</w:t>
      </w:r>
    </w:p>
    <w:p w:rsidR="00501260" w:rsidRPr="00B14153" w:rsidRDefault="00501260" w:rsidP="00B14153">
      <w:pPr>
        <w:spacing w:after="0" w:line="276" w:lineRule="auto"/>
        <w:jc w:val="both"/>
        <w:rPr>
          <w:rFonts w:eastAsia="Times New Roman" w:cstheme="minorHAnsi"/>
          <w:sz w:val="24"/>
          <w:szCs w:val="24"/>
          <w:lang w:eastAsia="es-ES"/>
        </w:rPr>
      </w:pPr>
      <w:r w:rsidRPr="00B14153">
        <w:rPr>
          <w:rFonts w:eastAsia="Times New Roman" w:cstheme="minorHAnsi"/>
          <w:color w:val="000000"/>
          <w:sz w:val="24"/>
          <w:szCs w:val="24"/>
          <w:lang w:eastAsia="es-ES"/>
        </w:rPr>
        <w:t>Procedimiento abierto simplificado abreviado: Valor estimado de obras inferiores a 200.000 y suministros y servicios inferiores a 100.000</w:t>
      </w:r>
    </w:p>
    <w:p w:rsidR="00501260" w:rsidRPr="00B14153" w:rsidRDefault="00501260" w:rsidP="00B14153">
      <w:pPr>
        <w:spacing w:line="276" w:lineRule="auto"/>
        <w:jc w:val="both"/>
        <w:rPr>
          <w:rFonts w:cstheme="minorHAnsi"/>
          <w:sz w:val="24"/>
          <w:szCs w:val="24"/>
        </w:rPr>
      </w:pPr>
      <w:r w:rsidRPr="00B14153">
        <w:rPr>
          <w:rFonts w:eastAsia="Times New Roman" w:cstheme="minorHAnsi"/>
          <w:color w:val="000000"/>
          <w:sz w:val="24"/>
          <w:szCs w:val="24"/>
          <w:lang w:eastAsia="es-ES"/>
        </w:rPr>
        <w:t xml:space="preserve">Procedimiento abierto simplificado: Valor estimado </w:t>
      </w:r>
      <w:r w:rsidR="007C5A51">
        <w:rPr>
          <w:rFonts w:eastAsia="Times New Roman" w:cstheme="minorHAnsi"/>
          <w:color w:val="000000"/>
          <w:sz w:val="24"/>
          <w:szCs w:val="24"/>
          <w:lang w:eastAsia="es-ES"/>
        </w:rPr>
        <w:t>de</w:t>
      </w:r>
      <w:r w:rsidRPr="00B14153">
        <w:rPr>
          <w:rFonts w:eastAsia="Times New Roman" w:cstheme="minorHAnsi"/>
          <w:color w:val="000000"/>
          <w:sz w:val="24"/>
          <w:szCs w:val="24"/>
          <w:lang w:eastAsia="es-ES"/>
        </w:rPr>
        <w:t xml:space="preserve"> obras inferior a 5.382.000 euros y en suministros y servicios inferior a 215.000</w:t>
      </w:r>
    </w:p>
    <w:p w:rsidR="001D02F3" w:rsidRPr="00B14153" w:rsidRDefault="00353A2F" w:rsidP="00B14153">
      <w:pPr>
        <w:spacing w:line="276" w:lineRule="auto"/>
        <w:jc w:val="both"/>
        <w:rPr>
          <w:rFonts w:cstheme="minorHAnsi"/>
          <w:sz w:val="24"/>
          <w:szCs w:val="24"/>
        </w:rPr>
      </w:pPr>
      <w:r>
        <w:rPr>
          <w:rFonts w:cstheme="minorHAnsi"/>
          <w:b/>
          <w:sz w:val="24"/>
          <w:szCs w:val="24"/>
        </w:rPr>
        <w:t xml:space="preserve">B) </w:t>
      </w:r>
      <w:r w:rsidR="001D02F3" w:rsidRPr="00B14153">
        <w:rPr>
          <w:rFonts w:cstheme="minorHAnsi"/>
          <w:b/>
          <w:sz w:val="24"/>
          <w:szCs w:val="24"/>
        </w:rPr>
        <w:t>Tramitación anticipada del expediente de gasto</w:t>
      </w:r>
      <w:r w:rsidR="001D02F3" w:rsidRPr="00B14153">
        <w:rPr>
          <w:rFonts w:cstheme="minorHAnsi"/>
          <w:sz w:val="24"/>
          <w:szCs w:val="24"/>
        </w:rPr>
        <w:t xml:space="preserve">: </w:t>
      </w:r>
      <w:r w:rsidR="00B14153">
        <w:rPr>
          <w:rFonts w:cstheme="minorHAnsi"/>
          <w:sz w:val="24"/>
          <w:szCs w:val="24"/>
        </w:rPr>
        <w:t>(</w:t>
      </w:r>
      <w:r w:rsidR="001D02F3" w:rsidRPr="00B14153">
        <w:rPr>
          <w:rFonts w:cstheme="minorHAnsi"/>
          <w:sz w:val="24"/>
          <w:szCs w:val="24"/>
        </w:rPr>
        <w:t>art</w:t>
      </w:r>
      <w:r w:rsidR="00B14153">
        <w:rPr>
          <w:rFonts w:cstheme="minorHAnsi"/>
          <w:sz w:val="24"/>
          <w:szCs w:val="24"/>
        </w:rPr>
        <w:t>.</w:t>
      </w:r>
      <w:r w:rsidR="001D02F3" w:rsidRPr="00B14153">
        <w:rPr>
          <w:rFonts w:cstheme="minorHAnsi"/>
          <w:sz w:val="24"/>
          <w:szCs w:val="24"/>
        </w:rPr>
        <w:t xml:space="preserve"> 39 RDL 36/2020</w:t>
      </w:r>
      <w:r w:rsidR="00B14153">
        <w:rPr>
          <w:rFonts w:cstheme="minorHAnsi"/>
          <w:sz w:val="24"/>
          <w:szCs w:val="24"/>
        </w:rPr>
        <w:t>)</w:t>
      </w:r>
      <w:r w:rsidR="001D02F3" w:rsidRPr="00B14153">
        <w:rPr>
          <w:rFonts w:cstheme="minorHAnsi"/>
          <w:sz w:val="24"/>
          <w:szCs w:val="24"/>
        </w:rPr>
        <w:t xml:space="preserve">: </w:t>
      </w:r>
      <w:r w:rsidR="00B14153">
        <w:rPr>
          <w:rFonts w:cstheme="minorHAnsi"/>
          <w:color w:val="000000"/>
          <w:sz w:val="24"/>
          <w:szCs w:val="24"/>
          <w:shd w:val="clear" w:color="auto" w:fill="FFFFFF"/>
        </w:rPr>
        <w:t>s</w:t>
      </w:r>
      <w:r w:rsidR="001D02F3" w:rsidRPr="00B14153">
        <w:rPr>
          <w:rFonts w:cstheme="minorHAnsi"/>
          <w:color w:val="000000"/>
          <w:sz w:val="24"/>
          <w:szCs w:val="24"/>
          <w:shd w:val="clear" w:color="auto" w:fill="FFFFFF"/>
        </w:rPr>
        <w:t>e establece la posibilidad de proceder a la tramitación anticipada de expedientes de gasto de ejercicios posteriores, llegando a la fase de formalización del compromiso de gasto</w:t>
      </w:r>
      <w:r w:rsidR="00B14153">
        <w:rPr>
          <w:rFonts w:cstheme="minorHAnsi"/>
          <w:color w:val="000000"/>
          <w:sz w:val="24"/>
          <w:szCs w:val="24"/>
          <w:shd w:val="clear" w:color="auto" w:fill="FFFFFF"/>
        </w:rPr>
        <w:t>.</w:t>
      </w:r>
    </w:p>
    <w:p w:rsidR="001D02F3" w:rsidRPr="00B14153" w:rsidRDefault="00353A2F" w:rsidP="00B14153">
      <w:pPr>
        <w:spacing w:line="276" w:lineRule="auto"/>
        <w:jc w:val="both"/>
        <w:rPr>
          <w:rFonts w:cstheme="minorHAnsi"/>
          <w:sz w:val="24"/>
          <w:szCs w:val="24"/>
        </w:rPr>
      </w:pPr>
      <w:r>
        <w:rPr>
          <w:rFonts w:cstheme="minorHAnsi"/>
          <w:b/>
          <w:color w:val="000000"/>
          <w:sz w:val="24"/>
          <w:szCs w:val="24"/>
          <w:shd w:val="clear" w:color="auto" w:fill="FFFFFF"/>
        </w:rPr>
        <w:t xml:space="preserve">C) </w:t>
      </w:r>
      <w:r w:rsidR="00D85A03" w:rsidRPr="00B14153">
        <w:rPr>
          <w:rFonts w:cstheme="minorHAnsi"/>
          <w:b/>
          <w:color w:val="000000"/>
          <w:sz w:val="24"/>
          <w:szCs w:val="24"/>
          <w:shd w:val="clear" w:color="auto" w:fill="FFFFFF"/>
        </w:rPr>
        <w:t>Compromiso de gastos plurianuales</w:t>
      </w:r>
      <w:r w:rsidR="00D85A03" w:rsidRPr="00B14153">
        <w:rPr>
          <w:rFonts w:cstheme="minorHAnsi"/>
          <w:color w:val="000000"/>
          <w:sz w:val="24"/>
          <w:szCs w:val="24"/>
          <w:shd w:val="clear" w:color="auto" w:fill="FFFFFF"/>
        </w:rPr>
        <w:t xml:space="preserve"> (ar. 41 RDL 36/2020): se podrán adquirir compromisos de gastos que hayan de extenderse a ejercicios posteriores a aquel en que se autoricen, siempre que no superen los siguientes límites y anualidades:</w:t>
      </w:r>
    </w:p>
    <w:p w:rsidR="00D85A03" w:rsidRPr="00B14153" w:rsidRDefault="00D85A03" w:rsidP="00B14153">
      <w:pPr>
        <w:spacing w:line="276" w:lineRule="auto"/>
        <w:ind w:left="708"/>
        <w:jc w:val="both"/>
        <w:rPr>
          <w:rFonts w:cstheme="minorHAnsi"/>
          <w:sz w:val="24"/>
          <w:szCs w:val="24"/>
        </w:rPr>
      </w:pPr>
      <w:r w:rsidRPr="00B14153">
        <w:rPr>
          <w:rFonts w:cstheme="minorHAnsi"/>
          <w:color w:val="000000"/>
          <w:sz w:val="24"/>
          <w:szCs w:val="24"/>
          <w:shd w:val="clear" w:color="auto" w:fill="FFFFFF"/>
        </w:rPr>
        <w:t>El número de ejercicios a los que pueden aplicarse los gastos no será superior a cinco. El gasto que se impute a cada uno de los ejercicios posteriores no podrá exceder de la cantidad que resulte de aplicar al crédito presupuestario a que corresponda la operación los siguientes porcentajes: en el ejercicio inmediato siguiente y en el segundo, el 100 por ciento, en el tercer ejercicio, el 70 por ciento y en los ejercicios cuarto y quinto, el 60 por ciento y 50 por ciento</w:t>
      </w:r>
      <w:r w:rsidR="000C26EA" w:rsidRPr="00B14153">
        <w:rPr>
          <w:rFonts w:cstheme="minorHAnsi"/>
          <w:color w:val="000000"/>
          <w:sz w:val="24"/>
          <w:szCs w:val="24"/>
          <w:shd w:val="clear" w:color="auto" w:fill="FFFFFF"/>
        </w:rPr>
        <w:t>.</w:t>
      </w:r>
    </w:p>
    <w:p w:rsidR="00353A2F" w:rsidRDefault="00353A2F" w:rsidP="00B14153">
      <w:pPr>
        <w:spacing w:line="276" w:lineRule="auto"/>
        <w:jc w:val="both"/>
        <w:rPr>
          <w:rFonts w:cstheme="minorHAnsi"/>
          <w:b/>
          <w:sz w:val="24"/>
          <w:szCs w:val="24"/>
        </w:rPr>
      </w:pPr>
    </w:p>
    <w:p w:rsidR="00B14153" w:rsidRDefault="00F844C0" w:rsidP="00F844C0">
      <w:pPr>
        <w:spacing w:line="276" w:lineRule="auto"/>
        <w:jc w:val="center"/>
        <w:rPr>
          <w:rFonts w:cstheme="minorHAnsi"/>
          <w:b/>
          <w:sz w:val="24"/>
          <w:szCs w:val="24"/>
        </w:rPr>
      </w:pPr>
      <w:r w:rsidRPr="00B14153">
        <w:rPr>
          <w:rFonts w:cstheme="minorHAnsi"/>
          <w:b/>
          <w:sz w:val="24"/>
          <w:szCs w:val="24"/>
        </w:rPr>
        <w:t>TRAMITACIÓN DEL EXPEDIENTE</w:t>
      </w:r>
    </w:p>
    <w:p w:rsidR="00B14153" w:rsidRPr="00F844C0" w:rsidRDefault="00B14153" w:rsidP="00F844C0">
      <w:pPr>
        <w:pStyle w:val="Prrafodelista"/>
        <w:numPr>
          <w:ilvl w:val="0"/>
          <w:numId w:val="6"/>
        </w:numPr>
        <w:spacing w:line="276" w:lineRule="auto"/>
        <w:rPr>
          <w:rFonts w:cstheme="minorHAnsi"/>
          <w:sz w:val="24"/>
          <w:szCs w:val="24"/>
        </w:rPr>
      </w:pPr>
      <w:r w:rsidRPr="00F844C0">
        <w:rPr>
          <w:rFonts w:cstheme="minorHAnsi"/>
          <w:sz w:val="24"/>
          <w:szCs w:val="24"/>
        </w:rPr>
        <w:t>Preferencia en el despacho</w:t>
      </w:r>
    </w:p>
    <w:p w:rsidR="00B14153" w:rsidRPr="00F844C0" w:rsidRDefault="00B14153" w:rsidP="00F844C0">
      <w:pPr>
        <w:pStyle w:val="Prrafodelista"/>
        <w:numPr>
          <w:ilvl w:val="0"/>
          <w:numId w:val="6"/>
        </w:numPr>
        <w:spacing w:line="276" w:lineRule="auto"/>
        <w:rPr>
          <w:rFonts w:cstheme="minorHAnsi"/>
          <w:sz w:val="24"/>
          <w:szCs w:val="24"/>
        </w:rPr>
      </w:pPr>
      <w:r w:rsidRPr="00F844C0">
        <w:rPr>
          <w:rFonts w:cstheme="minorHAnsi"/>
          <w:sz w:val="24"/>
          <w:szCs w:val="24"/>
        </w:rPr>
        <w:t>Emisión de informes: 5 días naturales (art. 50.2 RDL 36/2020)</w:t>
      </w:r>
    </w:p>
    <w:p w:rsidR="000C26EA" w:rsidRPr="00F844C0" w:rsidRDefault="00353A2F" w:rsidP="00B14153">
      <w:pPr>
        <w:spacing w:line="276" w:lineRule="auto"/>
        <w:jc w:val="both"/>
        <w:rPr>
          <w:rFonts w:cstheme="minorHAnsi"/>
          <w:sz w:val="24"/>
          <w:szCs w:val="24"/>
          <w:u w:val="single"/>
        </w:rPr>
      </w:pPr>
      <w:r w:rsidRPr="00F844C0">
        <w:rPr>
          <w:rFonts w:cstheme="minorHAnsi"/>
          <w:b/>
          <w:sz w:val="24"/>
          <w:szCs w:val="24"/>
        </w:rPr>
        <w:t xml:space="preserve">1.- </w:t>
      </w:r>
      <w:r w:rsidR="00B14153" w:rsidRPr="00F844C0">
        <w:rPr>
          <w:rFonts w:cstheme="minorHAnsi"/>
          <w:b/>
          <w:sz w:val="24"/>
          <w:szCs w:val="24"/>
        </w:rPr>
        <w:t>D</w:t>
      </w:r>
      <w:r w:rsidR="000C26EA" w:rsidRPr="00F844C0">
        <w:rPr>
          <w:rFonts w:cstheme="minorHAnsi"/>
          <w:b/>
          <w:sz w:val="24"/>
          <w:szCs w:val="24"/>
        </w:rPr>
        <w:t xml:space="preserve">ocumentación </w:t>
      </w:r>
      <w:r w:rsidR="00E04467" w:rsidRPr="00F844C0">
        <w:rPr>
          <w:rFonts w:cstheme="minorHAnsi"/>
          <w:b/>
          <w:sz w:val="24"/>
          <w:szCs w:val="24"/>
        </w:rPr>
        <w:t xml:space="preserve">remitida </w:t>
      </w:r>
      <w:r w:rsidR="000C26EA" w:rsidRPr="00F844C0">
        <w:rPr>
          <w:rFonts w:cstheme="minorHAnsi"/>
          <w:b/>
          <w:sz w:val="24"/>
          <w:szCs w:val="24"/>
        </w:rPr>
        <w:t>por el centro gestor:</w:t>
      </w:r>
      <w:r w:rsidR="000C26EA" w:rsidRPr="00B14153">
        <w:rPr>
          <w:rFonts w:cstheme="minorHAnsi"/>
          <w:sz w:val="24"/>
          <w:szCs w:val="24"/>
        </w:rPr>
        <w:t xml:space="preserve"> Comprobar que constan </w:t>
      </w:r>
      <w:r w:rsidR="000C26EA" w:rsidRPr="00F844C0">
        <w:rPr>
          <w:rFonts w:cstheme="minorHAnsi"/>
          <w:sz w:val="24"/>
          <w:szCs w:val="24"/>
          <w:u w:val="single"/>
        </w:rPr>
        <w:t xml:space="preserve">según </w:t>
      </w:r>
      <w:r w:rsidR="00501260" w:rsidRPr="00F844C0">
        <w:rPr>
          <w:rFonts w:cstheme="minorHAnsi"/>
          <w:sz w:val="24"/>
          <w:szCs w:val="24"/>
          <w:u w:val="single"/>
        </w:rPr>
        <w:t xml:space="preserve">los </w:t>
      </w:r>
      <w:r w:rsidR="000C26EA" w:rsidRPr="00F844C0">
        <w:rPr>
          <w:rFonts w:cstheme="minorHAnsi"/>
          <w:sz w:val="24"/>
          <w:szCs w:val="24"/>
          <w:u w:val="single"/>
        </w:rPr>
        <w:t>modelo</w:t>
      </w:r>
      <w:r w:rsidR="00501260" w:rsidRPr="00F844C0">
        <w:rPr>
          <w:rFonts w:cstheme="minorHAnsi"/>
          <w:sz w:val="24"/>
          <w:szCs w:val="24"/>
          <w:u w:val="single"/>
        </w:rPr>
        <w:t>s establecidos</w:t>
      </w:r>
      <w:r w:rsidR="000C26EA" w:rsidRPr="00F844C0">
        <w:rPr>
          <w:rFonts w:cstheme="minorHAnsi"/>
          <w:sz w:val="24"/>
          <w:szCs w:val="24"/>
          <w:u w:val="single"/>
        </w:rPr>
        <w:t>:</w:t>
      </w:r>
    </w:p>
    <w:p w:rsidR="000C26EA" w:rsidRPr="00B14153" w:rsidRDefault="00353A2F" w:rsidP="00B14153">
      <w:pPr>
        <w:spacing w:line="276" w:lineRule="auto"/>
        <w:ind w:left="708"/>
        <w:jc w:val="both"/>
        <w:rPr>
          <w:rFonts w:cstheme="minorHAnsi"/>
          <w:sz w:val="24"/>
          <w:szCs w:val="24"/>
        </w:rPr>
      </w:pPr>
      <w:r>
        <w:rPr>
          <w:rFonts w:cstheme="minorHAnsi"/>
          <w:sz w:val="24"/>
          <w:szCs w:val="24"/>
        </w:rPr>
        <w:t xml:space="preserve">1.1 </w:t>
      </w:r>
      <w:r w:rsidR="000C26EA" w:rsidRPr="00B14153">
        <w:rPr>
          <w:rFonts w:cstheme="minorHAnsi"/>
          <w:sz w:val="24"/>
          <w:szCs w:val="24"/>
        </w:rPr>
        <w:t>Memoria de actuaciones previas</w:t>
      </w:r>
    </w:p>
    <w:p w:rsidR="000C26EA" w:rsidRPr="00B14153" w:rsidRDefault="00353A2F" w:rsidP="00B14153">
      <w:pPr>
        <w:spacing w:line="276" w:lineRule="auto"/>
        <w:ind w:left="708"/>
        <w:jc w:val="both"/>
        <w:rPr>
          <w:rFonts w:cstheme="minorHAnsi"/>
          <w:sz w:val="24"/>
          <w:szCs w:val="24"/>
        </w:rPr>
      </w:pPr>
      <w:r>
        <w:rPr>
          <w:rFonts w:cstheme="minorHAnsi"/>
          <w:sz w:val="24"/>
          <w:szCs w:val="24"/>
        </w:rPr>
        <w:t xml:space="preserve">1.2 </w:t>
      </w:r>
      <w:r w:rsidR="00501260" w:rsidRPr="00B14153">
        <w:rPr>
          <w:rFonts w:cstheme="minorHAnsi"/>
          <w:sz w:val="24"/>
          <w:szCs w:val="24"/>
        </w:rPr>
        <w:t>Memoria de necesidades</w:t>
      </w:r>
      <w:r w:rsidR="00FA0826" w:rsidRPr="00B14153">
        <w:rPr>
          <w:rFonts w:cstheme="minorHAnsi"/>
          <w:sz w:val="24"/>
          <w:szCs w:val="24"/>
        </w:rPr>
        <w:t xml:space="preserve"> (deberá incluirse la referencia a la finalidad y objetivos establecidos por la normativa que regule a subvención.)</w:t>
      </w:r>
    </w:p>
    <w:p w:rsidR="00501260" w:rsidRPr="00B14153" w:rsidRDefault="00353A2F" w:rsidP="00B14153">
      <w:pPr>
        <w:spacing w:line="276" w:lineRule="auto"/>
        <w:ind w:left="708"/>
        <w:jc w:val="both"/>
        <w:rPr>
          <w:rFonts w:cstheme="minorHAnsi"/>
          <w:sz w:val="24"/>
          <w:szCs w:val="24"/>
        </w:rPr>
      </w:pPr>
      <w:r>
        <w:rPr>
          <w:rFonts w:cstheme="minorHAnsi"/>
          <w:sz w:val="24"/>
          <w:szCs w:val="24"/>
        </w:rPr>
        <w:t xml:space="preserve">1.3 </w:t>
      </w:r>
      <w:r w:rsidR="00501260" w:rsidRPr="00B14153">
        <w:rPr>
          <w:rFonts w:cstheme="minorHAnsi"/>
          <w:sz w:val="24"/>
          <w:szCs w:val="24"/>
        </w:rPr>
        <w:t>Carátula del PCAP</w:t>
      </w:r>
    </w:p>
    <w:p w:rsidR="00501260" w:rsidRPr="00B14153" w:rsidRDefault="00353A2F" w:rsidP="00B14153">
      <w:pPr>
        <w:spacing w:line="276" w:lineRule="auto"/>
        <w:ind w:left="708"/>
        <w:jc w:val="both"/>
        <w:rPr>
          <w:rFonts w:cstheme="minorHAnsi"/>
          <w:sz w:val="24"/>
          <w:szCs w:val="24"/>
        </w:rPr>
      </w:pPr>
      <w:r>
        <w:rPr>
          <w:rFonts w:cstheme="minorHAnsi"/>
          <w:sz w:val="24"/>
          <w:szCs w:val="24"/>
        </w:rPr>
        <w:t xml:space="preserve">1.4 </w:t>
      </w:r>
      <w:r w:rsidR="00501260" w:rsidRPr="00B14153">
        <w:rPr>
          <w:rFonts w:cstheme="minorHAnsi"/>
          <w:sz w:val="24"/>
          <w:szCs w:val="24"/>
        </w:rPr>
        <w:t>PPT</w:t>
      </w:r>
    </w:p>
    <w:p w:rsidR="00501260" w:rsidRPr="00B14153" w:rsidRDefault="00353A2F" w:rsidP="00B14153">
      <w:pPr>
        <w:spacing w:line="276" w:lineRule="auto"/>
        <w:ind w:left="708"/>
        <w:jc w:val="both"/>
        <w:rPr>
          <w:rFonts w:cstheme="minorHAnsi"/>
          <w:sz w:val="24"/>
          <w:szCs w:val="24"/>
        </w:rPr>
      </w:pPr>
      <w:r>
        <w:rPr>
          <w:rFonts w:cstheme="minorHAnsi"/>
          <w:sz w:val="24"/>
          <w:szCs w:val="24"/>
        </w:rPr>
        <w:t xml:space="preserve">1.5 </w:t>
      </w:r>
      <w:r w:rsidR="00501260" w:rsidRPr="00B14153">
        <w:rPr>
          <w:rFonts w:cstheme="minorHAnsi"/>
          <w:sz w:val="24"/>
          <w:szCs w:val="24"/>
        </w:rPr>
        <w:t>DACI de todos los que hayan firmado</w:t>
      </w:r>
      <w:r w:rsidR="00B14153">
        <w:rPr>
          <w:rFonts w:cstheme="minorHAnsi"/>
          <w:sz w:val="24"/>
          <w:szCs w:val="24"/>
        </w:rPr>
        <w:t xml:space="preserve"> o redactado</w:t>
      </w:r>
      <w:r w:rsidR="00501260" w:rsidRPr="00B14153">
        <w:rPr>
          <w:rFonts w:cstheme="minorHAnsi"/>
          <w:sz w:val="24"/>
          <w:szCs w:val="24"/>
        </w:rPr>
        <w:t xml:space="preserve"> alguno de los documentos anteriores, del responsable del contrato y del Vicerrector responsable de la subvención.</w:t>
      </w:r>
    </w:p>
    <w:p w:rsidR="00C14D20" w:rsidRPr="00B14153" w:rsidRDefault="00353A2F" w:rsidP="00B14153">
      <w:pPr>
        <w:spacing w:line="276" w:lineRule="auto"/>
        <w:jc w:val="both"/>
        <w:rPr>
          <w:rFonts w:cstheme="minorHAnsi"/>
          <w:sz w:val="24"/>
          <w:szCs w:val="24"/>
        </w:rPr>
      </w:pPr>
      <w:r w:rsidRPr="00F844C0">
        <w:rPr>
          <w:rFonts w:cstheme="minorHAnsi"/>
          <w:b/>
          <w:sz w:val="24"/>
          <w:szCs w:val="24"/>
        </w:rPr>
        <w:lastRenderedPageBreak/>
        <w:t xml:space="preserve">2.- </w:t>
      </w:r>
      <w:r w:rsidR="00C14D20" w:rsidRPr="00F844C0">
        <w:rPr>
          <w:rFonts w:cstheme="minorHAnsi"/>
          <w:b/>
          <w:sz w:val="24"/>
          <w:szCs w:val="24"/>
        </w:rPr>
        <w:t>Valorar si cabe tramitación de urgencia</w:t>
      </w:r>
      <w:r w:rsidR="001D02F3" w:rsidRPr="00F844C0">
        <w:rPr>
          <w:rFonts w:cstheme="minorHAnsi"/>
          <w:b/>
          <w:sz w:val="24"/>
          <w:szCs w:val="24"/>
        </w:rPr>
        <w:t>.</w:t>
      </w:r>
      <w:r w:rsidR="001D02F3" w:rsidRPr="00B14153">
        <w:rPr>
          <w:rFonts w:cstheme="minorHAnsi"/>
          <w:sz w:val="24"/>
          <w:szCs w:val="24"/>
        </w:rPr>
        <w:t xml:space="preserve"> </w:t>
      </w:r>
      <w:r>
        <w:rPr>
          <w:rFonts w:cstheme="minorHAnsi"/>
          <w:sz w:val="24"/>
          <w:szCs w:val="24"/>
        </w:rPr>
        <w:t xml:space="preserve">Se deben motivar las razones que dan lugar a que los plazos ordinarios </w:t>
      </w:r>
      <w:r w:rsidR="001D02F3" w:rsidRPr="00B14153">
        <w:rPr>
          <w:rFonts w:cstheme="minorHAnsi"/>
          <w:sz w:val="24"/>
          <w:szCs w:val="24"/>
        </w:rPr>
        <w:t>resulten impracticables</w:t>
      </w:r>
      <w:r w:rsidR="00F844C0">
        <w:rPr>
          <w:rFonts w:cstheme="minorHAnsi"/>
          <w:sz w:val="24"/>
          <w:szCs w:val="24"/>
        </w:rPr>
        <w:t>.</w:t>
      </w:r>
      <w:r w:rsidR="001D02F3" w:rsidRPr="00B14153">
        <w:rPr>
          <w:rFonts w:cstheme="minorHAnsi"/>
          <w:sz w:val="24"/>
          <w:szCs w:val="24"/>
        </w:rPr>
        <w:t xml:space="preserve"> (artículo 50.1 del RDL 36/2020 e Instrucción de la Junta Consultiva de Contratación Pública del Estado de 11 de marzo de 2021)</w:t>
      </w:r>
      <w:r w:rsidR="00B14153">
        <w:rPr>
          <w:rFonts w:cstheme="minorHAnsi"/>
          <w:sz w:val="24"/>
          <w:szCs w:val="24"/>
        </w:rPr>
        <w:t xml:space="preserve">. </w:t>
      </w:r>
      <w:r w:rsidR="001D02F3" w:rsidRPr="00B14153">
        <w:rPr>
          <w:rFonts w:cstheme="minorHAnsi"/>
          <w:sz w:val="24"/>
          <w:szCs w:val="24"/>
        </w:rPr>
        <w:t>Significa:</w:t>
      </w:r>
    </w:p>
    <w:p w:rsidR="00A96506" w:rsidRPr="00B14153" w:rsidRDefault="00B14153" w:rsidP="00B14153">
      <w:pPr>
        <w:pStyle w:val="Prrafodelista"/>
        <w:numPr>
          <w:ilvl w:val="0"/>
          <w:numId w:val="5"/>
        </w:numPr>
        <w:spacing w:after="0" w:line="276" w:lineRule="auto"/>
        <w:jc w:val="both"/>
        <w:rPr>
          <w:rFonts w:eastAsia="Times New Roman" w:cstheme="minorHAnsi"/>
          <w:sz w:val="24"/>
          <w:szCs w:val="24"/>
          <w:lang w:eastAsia="es-ES"/>
        </w:rPr>
      </w:pPr>
      <w:r w:rsidRPr="00B14153">
        <w:rPr>
          <w:rFonts w:eastAsia="Times New Roman" w:cstheme="minorHAnsi"/>
          <w:color w:val="000000"/>
          <w:sz w:val="24"/>
          <w:szCs w:val="24"/>
          <w:lang w:eastAsia="es-ES"/>
        </w:rPr>
        <w:t>P</w:t>
      </w:r>
      <w:r w:rsidR="00A96506" w:rsidRPr="00B14153">
        <w:rPr>
          <w:rFonts w:eastAsia="Times New Roman" w:cstheme="minorHAnsi"/>
          <w:color w:val="000000"/>
          <w:sz w:val="24"/>
          <w:szCs w:val="24"/>
          <w:lang w:eastAsia="es-ES"/>
        </w:rPr>
        <w:t xml:space="preserve">rocedimiento abierto: Los plazos fijados para la tramitación podrán reducirse hasta la mitad por exceso, salvo el plazo de presentación de proposiciones, que los órganos de contratación podrán reducir hasta un </w:t>
      </w:r>
      <w:r w:rsidR="00A96506" w:rsidRPr="00E16965">
        <w:rPr>
          <w:rFonts w:eastAsia="Times New Roman" w:cstheme="minorHAnsi"/>
          <w:color w:val="000000"/>
          <w:sz w:val="24"/>
          <w:szCs w:val="24"/>
          <w:u w:val="single"/>
          <w:lang w:eastAsia="es-ES"/>
        </w:rPr>
        <w:t xml:space="preserve">mínimo de </w:t>
      </w:r>
      <w:r w:rsidR="00E16965" w:rsidRPr="00E16965">
        <w:rPr>
          <w:rFonts w:eastAsia="Times New Roman" w:cstheme="minorHAnsi"/>
          <w:color w:val="000000"/>
          <w:sz w:val="24"/>
          <w:szCs w:val="24"/>
          <w:u w:val="single"/>
          <w:lang w:eastAsia="es-ES"/>
        </w:rPr>
        <w:t>15</w:t>
      </w:r>
      <w:r w:rsidR="00A96506" w:rsidRPr="00E16965">
        <w:rPr>
          <w:rFonts w:eastAsia="Times New Roman" w:cstheme="minorHAnsi"/>
          <w:color w:val="000000"/>
          <w:sz w:val="24"/>
          <w:szCs w:val="24"/>
          <w:u w:val="single"/>
          <w:lang w:eastAsia="es-ES"/>
        </w:rPr>
        <w:t xml:space="preserve"> días</w:t>
      </w:r>
      <w:r w:rsidR="00A96506" w:rsidRPr="00B14153">
        <w:rPr>
          <w:rFonts w:eastAsia="Times New Roman" w:cstheme="minorHAnsi"/>
          <w:color w:val="000000"/>
          <w:sz w:val="24"/>
          <w:szCs w:val="24"/>
          <w:lang w:eastAsia="es-ES"/>
        </w:rPr>
        <w:t xml:space="preserve"> naturales.</w:t>
      </w:r>
    </w:p>
    <w:p w:rsidR="00A96506" w:rsidRPr="00B14153" w:rsidRDefault="00A96506" w:rsidP="00B14153">
      <w:pPr>
        <w:pStyle w:val="Prrafodelista"/>
        <w:numPr>
          <w:ilvl w:val="0"/>
          <w:numId w:val="5"/>
        </w:numPr>
        <w:spacing w:after="0" w:line="276" w:lineRule="auto"/>
        <w:jc w:val="both"/>
        <w:rPr>
          <w:rFonts w:eastAsia="Times New Roman" w:cstheme="minorHAnsi"/>
          <w:sz w:val="24"/>
          <w:szCs w:val="24"/>
          <w:lang w:eastAsia="es-ES"/>
        </w:rPr>
      </w:pPr>
      <w:r w:rsidRPr="00B14153">
        <w:rPr>
          <w:rFonts w:eastAsia="Times New Roman" w:cstheme="minorHAnsi"/>
          <w:color w:val="000000"/>
          <w:sz w:val="24"/>
          <w:szCs w:val="24"/>
          <w:lang w:eastAsia="es-ES"/>
        </w:rPr>
        <w:t xml:space="preserve">Procedimiento abierto simplificado: el plazo de presentación de proposiciones que será de un </w:t>
      </w:r>
      <w:r w:rsidRPr="00E16965">
        <w:rPr>
          <w:rFonts w:eastAsia="Times New Roman" w:cstheme="minorHAnsi"/>
          <w:color w:val="000000"/>
          <w:sz w:val="24"/>
          <w:szCs w:val="24"/>
          <w:u w:val="single"/>
          <w:lang w:eastAsia="es-ES"/>
        </w:rPr>
        <w:t xml:space="preserve">máximo de </w:t>
      </w:r>
      <w:r w:rsidR="00E16965" w:rsidRPr="00E16965">
        <w:rPr>
          <w:rFonts w:eastAsia="Times New Roman" w:cstheme="minorHAnsi"/>
          <w:color w:val="000000"/>
          <w:sz w:val="24"/>
          <w:szCs w:val="24"/>
          <w:u w:val="single"/>
          <w:lang w:eastAsia="es-ES"/>
        </w:rPr>
        <w:t>15</w:t>
      </w:r>
      <w:r w:rsidRPr="00E16965">
        <w:rPr>
          <w:rFonts w:eastAsia="Times New Roman" w:cstheme="minorHAnsi"/>
          <w:color w:val="000000"/>
          <w:sz w:val="24"/>
          <w:szCs w:val="24"/>
          <w:u w:val="single"/>
          <w:lang w:eastAsia="es-ES"/>
        </w:rPr>
        <w:t xml:space="preserve"> días</w:t>
      </w:r>
      <w:r w:rsidRPr="00B14153">
        <w:rPr>
          <w:rFonts w:eastAsia="Times New Roman" w:cstheme="minorHAnsi"/>
          <w:color w:val="000000"/>
          <w:sz w:val="24"/>
          <w:szCs w:val="24"/>
          <w:lang w:eastAsia="es-ES"/>
        </w:rPr>
        <w:t xml:space="preserve"> naturales en todos los casos. Asimismo, en los supuestos en que se contemplen criterios de adjudicación cuya cuantificación dependa de un juicio de valor, la valoración de las proposiciones se hará por los servicios técnicos del órgano de contratación en un plazo </w:t>
      </w:r>
      <w:r w:rsidRPr="00E16965">
        <w:rPr>
          <w:rFonts w:eastAsia="Times New Roman" w:cstheme="minorHAnsi"/>
          <w:color w:val="000000"/>
          <w:sz w:val="24"/>
          <w:szCs w:val="24"/>
          <w:u w:val="single"/>
          <w:lang w:eastAsia="es-ES"/>
        </w:rPr>
        <w:t xml:space="preserve">no superior a cuatro días </w:t>
      </w:r>
      <w:r w:rsidRPr="00B14153">
        <w:rPr>
          <w:rFonts w:eastAsia="Times New Roman" w:cstheme="minorHAnsi"/>
          <w:color w:val="000000"/>
          <w:sz w:val="24"/>
          <w:szCs w:val="24"/>
          <w:lang w:eastAsia="es-ES"/>
        </w:rPr>
        <w:t>naturales</w:t>
      </w:r>
    </w:p>
    <w:p w:rsidR="00A96506" w:rsidRPr="00B14153" w:rsidRDefault="00A96506" w:rsidP="00B14153">
      <w:pPr>
        <w:pStyle w:val="Prrafodelista"/>
        <w:numPr>
          <w:ilvl w:val="0"/>
          <w:numId w:val="5"/>
        </w:numPr>
        <w:spacing w:after="0" w:line="276" w:lineRule="auto"/>
        <w:jc w:val="both"/>
        <w:rPr>
          <w:rFonts w:eastAsia="Times New Roman" w:cstheme="minorHAnsi"/>
          <w:sz w:val="24"/>
          <w:szCs w:val="24"/>
          <w:lang w:eastAsia="es-ES"/>
        </w:rPr>
      </w:pPr>
      <w:r w:rsidRPr="00B14153">
        <w:rPr>
          <w:rFonts w:eastAsia="Times New Roman" w:cstheme="minorHAnsi"/>
          <w:color w:val="000000"/>
          <w:sz w:val="24"/>
          <w:szCs w:val="24"/>
          <w:lang w:eastAsia="es-ES"/>
        </w:rPr>
        <w:t xml:space="preserve">Procedimiento abierto simplificado abreviado: presentación de proposiciones será de un </w:t>
      </w:r>
      <w:r w:rsidRPr="00E16965">
        <w:rPr>
          <w:rFonts w:eastAsia="Times New Roman" w:cstheme="minorHAnsi"/>
          <w:color w:val="000000"/>
          <w:sz w:val="24"/>
          <w:szCs w:val="24"/>
          <w:u w:val="single"/>
          <w:lang w:eastAsia="es-ES"/>
        </w:rPr>
        <w:t xml:space="preserve">máximo de </w:t>
      </w:r>
      <w:r w:rsidR="00E16965" w:rsidRPr="00E16965">
        <w:rPr>
          <w:rFonts w:eastAsia="Times New Roman" w:cstheme="minorHAnsi"/>
          <w:color w:val="000000"/>
          <w:sz w:val="24"/>
          <w:szCs w:val="24"/>
          <w:u w:val="single"/>
          <w:lang w:eastAsia="es-ES"/>
        </w:rPr>
        <w:t>8</w:t>
      </w:r>
      <w:r w:rsidRPr="00E16965">
        <w:rPr>
          <w:rFonts w:eastAsia="Times New Roman" w:cstheme="minorHAnsi"/>
          <w:color w:val="000000"/>
          <w:sz w:val="24"/>
          <w:szCs w:val="24"/>
          <w:u w:val="single"/>
          <w:lang w:eastAsia="es-ES"/>
        </w:rPr>
        <w:t xml:space="preserve"> días</w:t>
      </w:r>
      <w:r w:rsidRPr="00B14153">
        <w:rPr>
          <w:rFonts w:eastAsia="Times New Roman" w:cstheme="minorHAnsi"/>
          <w:color w:val="000000"/>
          <w:sz w:val="24"/>
          <w:szCs w:val="24"/>
          <w:lang w:eastAsia="es-ES"/>
        </w:rPr>
        <w:t xml:space="preserve"> naturales</w:t>
      </w:r>
    </w:p>
    <w:p w:rsidR="00A96506" w:rsidRPr="00B14153" w:rsidRDefault="00A96506" w:rsidP="00B14153">
      <w:pPr>
        <w:pStyle w:val="Prrafodelista"/>
        <w:numPr>
          <w:ilvl w:val="0"/>
          <w:numId w:val="5"/>
        </w:numPr>
        <w:spacing w:after="0" w:line="276" w:lineRule="auto"/>
        <w:jc w:val="both"/>
        <w:rPr>
          <w:rFonts w:eastAsia="Times New Roman" w:cstheme="minorHAnsi"/>
          <w:sz w:val="24"/>
          <w:szCs w:val="24"/>
          <w:lang w:eastAsia="es-ES"/>
        </w:rPr>
      </w:pPr>
      <w:r w:rsidRPr="00B14153">
        <w:rPr>
          <w:rFonts w:eastAsia="Times New Roman" w:cstheme="minorHAnsi"/>
          <w:color w:val="000000"/>
          <w:sz w:val="24"/>
          <w:szCs w:val="24"/>
          <w:lang w:eastAsia="es-ES"/>
        </w:rPr>
        <w:t>Procedimiento negociado: Los plazos podrán reducirse hasta la mitad por exceso</w:t>
      </w:r>
      <w:r w:rsidR="00B14153">
        <w:rPr>
          <w:rFonts w:eastAsia="Times New Roman" w:cstheme="minorHAnsi"/>
          <w:color w:val="000000"/>
          <w:sz w:val="24"/>
          <w:szCs w:val="24"/>
          <w:lang w:eastAsia="es-ES"/>
        </w:rPr>
        <w:t>,</w:t>
      </w:r>
      <w:r w:rsidRPr="00B14153">
        <w:rPr>
          <w:rFonts w:eastAsia="Times New Roman" w:cstheme="minorHAnsi"/>
          <w:color w:val="000000"/>
          <w:sz w:val="24"/>
          <w:szCs w:val="24"/>
          <w:lang w:eastAsia="es-ES"/>
        </w:rPr>
        <w:t xml:space="preserve"> salvo el plazo de presentación de las proposiciones que </w:t>
      </w:r>
      <w:r w:rsidRPr="00E16965">
        <w:rPr>
          <w:rFonts w:eastAsia="Times New Roman" w:cstheme="minorHAnsi"/>
          <w:color w:val="000000"/>
          <w:sz w:val="24"/>
          <w:szCs w:val="24"/>
          <w:u w:val="single"/>
          <w:lang w:eastAsia="es-ES"/>
        </w:rPr>
        <w:t xml:space="preserve">en ningún caso será inferior a </w:t>
      </w:r>
      <w:r w:rsidR="00E16965" w:rsidRPr="00E16965">
        <w:rPr>
          <w:rFonts w:eastAsia="Times New Roman" w:cstheme="minorHAnsi"/>
          <w:color w:val="000000"/>
          <w:sz w:val="24"/>
          <w:szCs w:val="24"/>
          <w:u w:val="single"/>
          <w:lang w:eastAsia="es-ES"/>
        </w:rPr>
        <w:t>15</w:t>
      </w:r>
      <w:r w:rsidRPr="00E16965">
        <w:rPr>
          <w:rFonts w:eastAsia="Times New Roman" w:cstheme="minorHAnsi"/>
          <w:color w:val="000000"/>
          <w:sz w:val="24"/>
          <w:szCs w:val="24"/>
          <w:u w:val="single"/>
          <w:lang w:eastAsia="es-ES"/>
        </w:rPr>
        <w:t xml:space="preserve"> días </w:t>
      </w:r>
      <w:r w:rsidRPr="00B14153">
        <w:rPr>
          <w:rFonts w:eastAsia="Times New Roman" w:cstheme="minorHAnsi"/>
          <w:color w:val="000000"/>
          <w:sz w:val="24"/>
          <w:szCs w:val="24"/>
          <w:lang w:eastAsia="es-ES"/>
        </w:rPr>
        <w:t>naturales.</w:t>
      </w:r>
    </w:p>
    <w:p w:rsidR="00A96506" w:rsidRPr="00B14153" w:rsidRDefault="00A96506" w:rsidP="00B14153">
      <w:pPr>
        <w:spacing w:after="0" w:line="276" w:lineRule="auto"/>
        <w:jc w:val="both"/>
        <w:rPr>
          <w:rFonts w:eastAsia="Times New Roman" w:cstheme="minorHAnsi"/>
          <w:sz w:val="24"/>
          <w:szCs w:val="24"/>
          <w:lang w:eastAsia="es-ES"/>
        </w:rPr>
      </w:pPr>
    </w:p>
    <w:p w:rsidR="00A96506" w:rsidRDefault="00F844C0" w:rsidP="00B14153">
      <w:pPr>
        <w:spacing w:after="0" w:line="276" w:lineRule="auto"/>
        <w:jc w:val="both"/>
        <w:rPr>
          <w:rFonts w:eastAsia="Times New Roman" w:cstheme="minorHAnsi"/>
          <w:sz w:val="24"/>
          <w:szCs w:val="24"/>
          <w:lang w:eastAsia="es-ES"/>
        </w:rPr>
      </w:pPr>
      <w:r w:rsidRPr="00F844C0">
        <w:rPr>
          <w:rFonts w:eastAsia="Times New Roman" w:cstheme="minorHAnsi"/>
          <w:b/>
          <w:sz w:val="24"/>
          <w:szCs w:val="24"/>
          <w:lang w:eastAsia="es-ES"/>
        </w:rPr>
        <w:t xml:space="preserve">3.- </w:t>
      </w:r>
      <w:r w:rsidR="00B14153" w:rsidRPr="00F844C0">
        <w:rPr>
          <w:rFonts w:eastAsia="Times New Roman" w:cstheme="minorHAnsi"/>
          <w:b/>
          <w:sz w:val="24"/>
          <w:szCs w:val="24"/>
          <w:lang w:eastAsia="es-ES"/>
        </w:rPr>
        <w:t>Propuesta del A:</w:t>
      </w:r>
      <w:r w:rsidR="00B14153" w:rsidRPr="00B14153">
        <w:rPr>
          <w:rFonts w:eastAsia="Times New Roman" w:cstheme="minorHAnsi"/>
          <w:sz w:val="24"/>
          <w:szCs w:val="24"/>
          <w:lang w:eastAsia="es-ES"/>
        </w:rPr>
        <w:t xml:space="preserve"> </w:t>
      </w:r>
      <w:r w:rsidR="00501260" w:rsidRPr="00B14153">
        <w:rPr>
          <w:rFonts w:eastAsia="Times New Roman" w:cstheme="minorHAnsi"/>
          <w:sz w:val="24"/>
          <w:szCs w:val="24"/>
          <w:lang w:eastAsia="es-ES"/>
        </w:rPr>
        <w:t>Antes de remitir la aprobación del A y los pliegos a Intervención</w:t>
      </w:r>
      <w:r w:rsidR="00B14153">
        <w:rPr>
          <w:rFonts w:eastAsia="Times New Roman" w:cstheme="minorHAnsi"/>
          <w:sz w:val="24"/>
          <w:szCs w:val="24"/>
          <w:lang w:eastAsia="es-ES"/>
        </w:rPr>
        <w:t xml:space="preserve"> recabar</w:t>
      </w:r>
      <w:r w:rsidR="00501260" w:rsidRPr="00B14153">
        <w:rPr>
          <w:rFonts w:eastAsia="Times New Roman" w:cstheme="minorHAnsi"/>
          <w:sz w:val="24"/>
          <w:szCs w:val="24"/>
          <w:lang w:eastAsia="es-ES"/>
        </w:rPr>
        <w:t xml:space="preserve"> DACI de la Gerente como Órgano de contratación y del Vicegerente </w:t>
      </w:r>
      <w:r w:rsidR="00371293">
        <w:rPr>
          <w:rFonts w:eastAsia="Times New Roman" w:cstheme="minorHAnsi"/>
          <w:sz w:val="24"/>
          <w:szCs w:val="24"/>
          <w:lang w:eastAsia="es-ES"/>
        </w:rPr>
        <w:t>de Contratación Administrativa</w:t>
      </w:r>
      <w:r w:rsidR="00501260" w:rsidRPr="00B14153">
        <w:rPr>
          <w:rFonts w:eastAsia="Times New Roman" w:cstheme="minorHAnsi"/>
          <w:sz w:val="24"/>
          <w:szCs w:val="24"/>
          <w:lang w:eastAsia="es-ES"/>
        </w:rPr>
        <w:t xml:space="preserve"> por delegación de firma del O</w:t>
      </w:r>
      <w:r w:rsidR="00371293">
        <w:rPr>
          <w:rFonts w:eastAsia="Times New Roman" w:cstheme="minorHAnsi"/>
          <w:sz w:val="24"/>
          <w:szCs w:val="24"/>
          <w:lang w:eastAsia="es-ES"/>
        </w:rPr>
        <w:t>.</w:t>
      </w:r>
      <w:r w:rsidR="00501260" w:rsidRPr="00B14153">
        <w:rPr>
          <w:rFonts w:eastAsia="Times New Roman" w:cstheme="minorHAnsi"/>
          <w:sz w:val="24"/>
          <w:szCs w:val="24"/>
          <w:lang w:eastAsia="es-ES"/>
        </w:rPr>
        <w:t>C. (Adjuntar a la documentación del expediente)</w:t>
      </w:r>
      <w:r w:rsidR="00371293">
        <w:rPr>
          <w:rFonts w:eastAsia="Times New Roman" w:cstheme="minorHAnsi"/>
          <w:sz w:val="24"/>
          <w:szCs w:val="24"/>
          <w:lang w:eastAsia="es-ES"/>
        </w:rPr>
        <w:t>.</w:t>
      </w:r>
      <w:bookmarkStart w:id="0" w:name="_GoBack"/>
      <w:bookmarkEnd w:id="0"/>
    </w:p>
    <w:p w:rsidR="00E04467" w:rsidRDefault="00E04467" w:rsidP="00B14153">
      <w:pPr>
        <w:spacing w:after="0" w:line="276" w:lineRule="auto"/>
        <w:jc w:val="both"/>
        <w:rPr>
          <w:rFonts w:eastAsia="Times New Roman" w:cstheme="minorHAnsi"/>
          <w:sz w:val="24"/>
          <w:szCs w:val="24"/>
          <w:lang w:eastAsia="es-ES"/>
        </w:rPr>
      </w:pPr>
    </w:p>
    <w:p w:rsidR="00B14153" w:rsidRDefault="00353A2F" w:rsidP="004221F2">
      <w:pPr>
        <w:spacing w:after="0" w:line="276" w:lineRule="auto"/>
        <w:jc w:val="both"/>
        <w:rPr>
          <w:rFonts w:eastAsia="Times New Roman" w:cstheme="minorHAnsi"/>
          <w:b/>
          <w:sz w:val="24"/>
          <w:szCs w:val="24"/>
          <w:lang w:eastAsia="es-ES"/>
        </w:rPr>
      </w:pPr>
      <w:r w:rsidRPr="00F844C0">
        <w:rPr>
          <w:rFonts w:eastAsia="Times New Roman" w:cstheme="minorHAnsi"/>
          <w:b/>
          <w:noProof/>
          <w:sz w:val="24"/>
          <w:szCs w:val="24"/>
          <w:lang w:eastAsia="es-ES"/>
        </w:rPr>
        <mc:AlternateContent>
          <mc:Choice Requires="wps">
            <w:drawing>
              <wp:anchor distT="0" distB="0" distL="114300" distR="114300" simplePos="0" relativeHeight="251659264" behindDoc="0" locked="0" layoutInCell="1" allowOverlap="1">
                <wp:simplePos x="0" y="0"/>
                <wp:positionH relativeFrom="column">
                  <wp:posOffset>2120227</wp:posOffset>
                </wp:positionH>
                <wp:positionV relativeFrom="paragraph">
                  <wp:posOffset>269553</wp:posOffset>
                </wp:positionV>
                <wp:extent cx="295512" cy="102359"/>
                <wp:effectExtent l="0" t="19050" r="47625" b="31115"/>
                <wp:wrapNone/>
                <wp:docPr id="1" name="Flecha: a la derecha 1"/>
                <wp:cNvGraphicFramePr/>
                <a:graphic xmlns:a="http://schemas.openxmlformats.org/drawingml/2006/main">
                  <a:graphicData uri="http://schemas.microsoft.com/office/word/2010/wordprocessingShape">
                    <wps:wsp>
                      <wps:cNvSpPr/>
                      <wps:spPr>
                        <a:xfrm>
                          <a:off x="0" y="0"/>
                          <a:ext cx="295512" cy="10235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23ACF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1" o:spid="_x0000_s1026" type="#_x0000_t13" style="position:absolute;margin-left:166.95pt;margin-top:21.2pt;width:23.25pt;height: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" adj="17859" fillcolor="#5b9bd5 [3204]" strokecolor="#1f4d78 [1604]" strokeweight="1pt"/>
            </w:pict>
          </mc:Fallback>
        </mc:AlternateContent>
      </w:r>
      <w:r w:rsidR="00F844C0" w:rsidRPr="00F844C0">
        <w:rPr>
          <w:rFonts w:eastAsia="Times New Roman" w:cstheme="minorHAnsi"/>
          <w:b/>
          <w:sz w:val="24"/>
          <w:szCs w:val="24"/>
          <w:lang w:eastAsia="es-ES"/>
        </w:rPr>
        <w:t xml:space="preserve">4.- </w:t>
      </w:r>
      <w:r w:rsidR="00E04467" w:rsidRPr="00F844C0">
        <w:rPr>
          <w:rFonts w:eastAsia="Times New Roman" w:cstheme="minorHAnsi"/>
          <w:b/>
          <w:sz w:val="24"/>
          <w:szCs w:val="24"/>
          <w:lang w:eastAsia="es-ES"/>
        </w:rPr>
        <w:t>Tramitación en PLACSP:</w:t>
      </w:r>
      <w:r w:rsidR="00E04467">
        <w:rPr>
          <w:rFonts w:eastAsia="Times New Roman" w:cstheme="minorHAnsi"/>
          <w:sz w:val="24"/>
          <w:szCs w:val="24"/>
          <w:lang w:eastAsia="es-ES"/>
        </w:rPr>
        <w:t xml:space="preserve"> </w:t>
      </w:r>
      <w:r>
        <w:rPr>
          <w:rFonts w:eastAsia="Times New Roman" w:cstheme="minorHAnsi"/>
          <w:sz w:val="24"/>
          <w:szCs w:val="24"/>
          <w:lang w:eastAsia="es-ES"/>
        </w:rPr>
        <w:t xml:space="preserve">En la pestaña PCAP/ Información de cláusulas administrativas/ Financiación UE                Seleccionar </w:t>
      </w:r>
      <w:r w:rsidRPr="00353A2F">
        <w:rPr>
          <w:rFonts w:eastAsia="Times New Roman" w:cstheme="minorHAnsi"/>
          <w:b/>
          <w:sz w:val="24"/>
          <w:szCs w:val="24"/>
          <w:lang w:eastAsia="es-ES"/>
        </w:rPr>
        <w:t>SÍ</w:t>
      </w:r>
    </w:p>
    <w:p w:rsidR="00353A2F" w:rsidRPr="00353A2F" w:rsidRDefault="00353A2F" w:rsidP="004221F2">
      <w:pPr>
        <w:spacing w:after="0" w:line="276" w:lineRule="auto"/>
        <w:jc w:val="both"/>
        <w:rPr>
          <w:rFonts w:eastAsia="Times New Roman" w:cstheme="minorHAnsi"/>
          <w:b/>
          <w:sz w:val="24"/>
          <w:szCs w:val="24"/>
          <w:lang w:eastAsia="es-ES"/>
        </w:rPr>
      </w:pPr>
      <w:r>
        <w:rPr>
          <w:rFonts w:eastAsia="Times New Roman" w:cstheme="minorHAnsi"/>
          <w:noProof/>
          <w:sz w:val="24"/>
          <w:szCs w:val="24"/>
          <w:lang w:eastAsia="es-ES"/>
        </w:rPr>
        <mc:AlternateContent>
          <mc:Choice Requires="wps">
            <w:drawing>
              <wp:anchor distT="0" distB="0" distL="114300" distR="114300" simplePos="0" relativeHeight="251661312" behindDoc="0" locked="0" layoutInCell="1" allowOverlap="1" wp14:anchorId="371E7923" wp14:editId="271A00AB">
                <wp:simplePos x="0" y="0"/>
                <wp:positionH relativeFrom="margin">
                  <wp:posOffset>2067635</wp:posOffset>
                </wp:positionH>
                <wp:positionV relativeFrom="paragraph">
                  <wp:posOffset>46384</wp:posOffset>
                </wp:positionV>
                <wp:extent cx="295275" cy="102273"/>
                <wp:effectExtent l="0" t="19050" r="47625" b="31115"/>
                <wp:wrapNone/>
                <wp:docPr id="2" name="Flecha: a la derecha 2"/>
                <wp:cNvGraphicFramePr/>
                <a:graphic xmlns:a="http://schemas.openxmlformats.org/drawingml/2006/main">
                  <a:graphicData uri="http://schemas.microsoft.com/office/word/2010/wordprocessingShape">
                    <wps:wsp>
                      <wps:cNvSpPr/>
                      <wps:spPr>
                        <a:xfrm>
                          <a:off x="0" y="0"/>
                          <a:ext cx="295275" cy="10227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78B16" id="Flecha: a la derecha 2" o:spid="_x0000_s1026" type="#_x0000_t13" style="position:absolute;margin-left:162.8pt;margin-top:3.65pt;width:23.25pt;height:8.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" adj="17859" fillcolor="#5b9bd5 [3204]" strokecolor="#1f4d78 [1604]" strokeweight="1pt">
                <w10:wrap anchorx="margin"/>
              </v:shape>
            </w:pict>
          </mc:Fallback>
        </mc:AlternateContent>
      </w:r>
      <w:r>
        <w:rPr>
          <w:rFonts w:eastAsia="Times New Roman" w:cstheme="minorHAnsi"/>
          <w:sz w:val="24"/>
          <w:szCs w:val="24"/>
          <w:lang w:eastAsia="es-ES"/>
        </w:rPr>
        <w:t xml:space="preserve">Fuente de financiación europea           Seleccionar </w:t>
      </w:r>
      <w:r w:rsidRPr="00353A2F">
        <w:rPr>
          <w:rFonts w:eastAsia="Times New Roman" w:cstheme="minorHAnsi"/>
          <w:b/>
          <w:sz w:val="24"/>
          <w:szCs w:val="24"/>
          <w:lang w:eastAsia="es-ES"/>
        </w:rPr>
        <w:t xml:space="preserve">Asociado al Plan de Recuperación, Transformación y </w:t>
      </w:r>
      <w:proofErr w:type="spellStart"/>
      <w:r w:rsidRPr="00353A2F">
        <w:rPr>
          <w:rFonts w:eastAsia="Times New Roman" w:cstheme="minorHAnsi"/>
          <w:b/>
          <w:sz w:val="24"/>
          <w:szCs w:val="24"/>
          <w:lang w:eastAsia="es-ES"/>
        </w:rPr>
        <w:t>Resilencia</w:t>
      </w:r>
      <w:proofErr w:type="spellEnd"/>
    </w:p>
    <w:p w:rsidR="00353A2F" w:rsidRDefault="00353A2F" w:rsidP="004221F2">
      <w:pPr>
        <w:spacing w:after="0" w:line="276" w:lineRule="auto"/>
        <w:jc w:val="both"/>
        <w:rPr>
          <w:rFonts w:eastAsia="Times New Roman" w:cstheme="minorHAnsi"/>
          <w:sz w:val="24"/>
          <w:szCs w:val="24"/>
          <w:u w:val="single"/>
          <w:lang w:eastAsia="es-ES"/>
        </w:rPr>
      </w:pPr>
    </w:p>
    <w:p w:rsidR="00353A2F" w:rsidRPr="00F844C0" w:rsidRDefault="00F844C0" w:rsidP="004221F2">
      <w:pPr>
        <w:spacing w:after="0" w:line="276" w:lineRule="auto"/>
        <w:jc w:val="both"/>
        <w:rPr>
          <w:rFonts w:eastAsia="Times New Roman" w:cstheme="minorHAnsi"/>
          <w:b/>
          <w:sz w:val="24"/>
          <w:szCs w:val="24"/>
          <w:lang w:eastAsia="es-ES"/>
        </w:rPr>
      </w:pPr>
      <w:r w:rsidRPr="00F844C0">
        <w:rPr>
          <w:rFonts w:eastAsia="Times New Roman" w:cstheme="minorHAnsi"/>
          <w:b/>
          <w:sz w:val="24"/>
          <w:szCs w:val="24"/>
          <w:lang w:eastAsia="es-ES"/>
        </w:rPr>
        <w:t xml:space="preserve">5.- </w:t>
      </w:r>
      <w:r w:rsidR="00B14153" w:rsidRPr="00F844C0">
        <w:rPr>
          <w:rFonts w:eastAsia="Times New Roman" w:cstheme="minorHAnsi"/>
          <w:b/>
          <w:sz w:val="24"/>
          <w:szCs w:val="24"/>
          <w:lang w:eastAsia="es-ES"/>
        </w:rPr>
        <w:t>P</w:t>
      </w:r>
      <w:r w:rsidR="00501260" w:rsidRPr="00F844C0">
        <w:rPr>
          <w:rFonts w:eastAsia="Times New Roman" w:cstheme="minorHAnsi"/>
          <w:b/>
          <w:sz w:val="24"/>
          <w:szCs w:val="24"/>
          <w:lang w:eastAsia="es-ES"/>
        </w:rPr>
        <w:t xml:space="preserve">rimera sesión de la mesa de contratación: </w:t>
      </w:r>
    </w:p>
    <w:p w:rsidR="00353A2F" w:rsidRDefault="00353A2F" w:rsidP="004221F2">
      <w:pPr>
        <w:spacing w:after="0" w:line="276" w:lineRule="auto"/>
        <w:jc w:val="both"/>
        <w:rPr>
          <w:rFonts w:eastAsia="Times New Roman" w:cstheme="minorHAnsi"/>
          <w:sz w:val="24"/>
          <w:szCs w:val="24"/>
          <w:lang w:eastAsia="es-ES"/>
        </w:rPr>
      </w:pPr>
      <w:r>
        <w:rPr>
          <w:rFonts w:eastAsia="Times New Roman" w:cstheme="minorHAnsi"/>
          <w:sz w:val="24"/>
          <w:szCs w:val="24"/>
          <w:lang w:eastAsia="es-ES"/>
        </w:rPr>
        <w:t>Primer punto del orden del día:</w:t>
      </w:r>
    </w:p>
    <w:p w:rsidR="00353A2F" w:rsidRDefault="00F844C0" w:rsidP="00F844C0">
      <w:pPr>
        <w:spacing w:after="0" w:line="276" w:lineRule="auto"/>
        <w:ind w:left="708"/>
        <w:jc w:val="both"/>
        <w:rPr>
          <w:rFonts w:eastAsia="Times New Roman" w:cstheme="minorHAnsi"/>
          <w:sz w:val="24"/>
          <w:szCs w:val="24"/>
          <w:lang w:eastAsia="es-ES"/>
        </w:rPr>
      </w:pPr>
      <w:r>
        <w:rPr>
          <w:rFonts w:eastAsia="Times New Roman" w:cstheme="minorHAnsi"/>
          <w:sz w:val="24"/>
          <w:szCs w:val="24"/>
          <w:lang w:eastAsia="es-ES"/>
        </w:rPr>
        <w:t xml:space="preserve">1º: </w:t>
      </w:r>
      <w:r w:rsidR="00353A2F">
        <w:rPr>
          <w:rFonts w:eastAsia="Times New Roman" w:cstheme="minorHAnsi"/>
          <w:sz w:val="24"/>
          <w:szCs w:val="24"/>
          <w:lang w:eastAsia="es-ES"/>
        </w:rPr>
        <w:t>Suscripción de la DACI por los miembros de la mesa de contratación.</w:t>
      </w:r>
    </w:p>
    <w:p w:rsidR="00353A2F" w:rsidRDefault="00353A2F" w:rsidP="004221F2">
      <w:pPr>
        <w:spacing w:after="0" w:line="276" w:lineRule="auto"/>
        <w:jc w:val="both"/>
        <w:rPr>
          <w:rFonts w:eastAsia="Times New Roman" w:cstheme="minorHAnsi"/>
          <w:sz w:val="24"/>
          <w:szCs w:val="24"/>
          <w:lang w:eastAsia="es-ES"/>
        </w:rPr>
      </w:pPr>
      <w:r>
        <w:rPr>
          <w:rFonts w:eastAsia="Times New Roman" w:cstheme="minorHAnsi"/>
          <w:sz w:val="24"/>
          <w:szCs w:val="24"/>
          <w:lang w:eastAsia="es-ES"/>
        </w:rPr>
        <w:t>En el punto se copia entera la DACI y todos los miembros de la mesa de contratación deben firmar el acta</w:t>
      </w:r>
      <w:r w:rsidR="00501260" w:rsidRPr="004221F2">
        <w:rPr>
          <w:rFonts w:eastAsia="Times New Roman" w:cstheme="minorHAnsi"/>
          <w:sz w:val="24"/>
          <w:szCs w:val="24"/>
          <w:lang w:eastAsia="es-ES"/>
        </w:rPr>
        <w:t>.</w:t>
      </w:r>
      <w:r w:rsidR="00FA0826" w:rsidRPr="004221F2">
        <w:rPr>
          <w:rFonts w:eastAsia="Times New Roman" w:cstheme="minorHAnsi"/>
          <w:sz w:val="24"/>
          <w:szCs w:val="24"/>
          <w:lang w:eastAsia="es-ES"/>
        </w:rPr>
        <w:t xml:space="preserve"> </w:t>
      </w:r>
    </w:p>
    <w:p w:rsidR="00501260" w:rsidRDefault="00FA0826" w:rsidP="004221F2">
      <w:pPr>
        <w:spacing w:after="0" w:line="276" w:lineRule="auto"/>
        <w:jc w:val="both"/>
        <w:rPr>
          <w:rFonts w:eastAsia="Times New Roman" w:cstheme="minorHAnsi"/>
          <w:sz w:val="24"/>
          <w:szCs w:val="24"/>
          <w:lang w:eastAsia="es-ES"/>
        </w:rPr>
      </w:pPr>
      <w:r w:rsidRPr="004221F2">
        <w:rPr>
          <w:rFonts w:eastAsia="Times New Roman" w:cstheme="minorHAnsi"/>
          <w:sz w:val="24"/>
          <w:szCs w:val="24"/>
          <w:lang w:eastAsia="es-ES"/>
        </w:rPr>
        <w:t>Si hay comisión asesora, los miembros tienen que firmar la DACI en su primera reunión.</w:t>
      </w:r>
    </w:p>
    <w:p w:rsidR="00B14153" w:rsidRDefault="00B14153" w:rsidP="004221F2">
      <w:pPr>
        <w:spacing w:after="0" w:line="276" w:lineRule="auto"/>
        <w:jc w:val="both"/>
        <w:rPr>
          <w:rFonts w:eastAsia="Times New Roman" w:cstheme="minorHAnsi"/>
          <w:sz w:val="24"/>
          <w:szCs w:val="24"/>
          <w:lang w:eastAsia="es-ES"/>
        </w:rPr>
      </w:pPr>
    </w:p>
    <w:p w:rsidR="004512B3" w:rsidRDefault="00F844C0" w:rsidP="004221F2">
      <w:pPr>
        <w:spacing w:after="0" w:line="276" w:lineRule="auto"/>
        <w:jc w:val="both"/>
        <w:rPr>
          <w:rFonts w:eastAsia="Times New Roman" w:cstheme="minorHAnsi"/>
          <w:sz w:val="24"/>
          <w:szCs w:val="24"/>
          <w:lang w:eastAsia="es-ES"/>
        </w:rPr>
      </w:pPr>
      <w:r>
        <w:rPr>
          <w:rFonts w:eastAsia="Times New Roman" w:cstheme="minorHAnsi"/>
          <w:b/>
          <w:sz w:val="24"/>
          <w:szCs w:val="24"/>
          <w:lang w:eastAsia="es-ES"/>
        </w:rPr>
        <w:t xml:space="preserve">6.- </w:t>
      </w:r>
      <w:r w:rsidR="00B14153" w:rsidRPr="000502EB">
        <w:rPr>
          <w:rFonts w:eastAsia="Times New Roman" w:cstheme="minorHAnsi"/>
          <w:b/>
          <w:sz w:val="24"/>
          <w:szCs w:val="24"/>
          <w:lang w:eastAsia="es-ES"/>
        </w:rPr>
        <w:t>Requerimiento de documentación:</w:t>
      </w:r>
      <w:r w:rsidR="00B14153">
        <w:rPr>
          <w:rFonts w:eastAsia="Times New Roman" w:cstheme="minorHAnsi"/>
          <w:sz w:val="24"/>
          <w:szCs w:val="24"/>
          <w:lang w:eastAsia="es-ES"/>
        </w:rPr>
        <w:t xml:space="preserve"> </w:t>
      </w:r>
    </w:p>
    <w:p w:rsidR="004512B3" w:rsidRPr="004512B3" w:rsidRDefault="004512B3" w:rsidP="004512B3">
      <w:pPr>
        <w:pStyle w:val="Prrafodelista"/>
        <w:numPr>
          <w:ilvl w:val="0"/>
          <w:numId w:val="8"/>
        </w:numPr>
        <w:spacing w:before="120" w:after="120" w:line="276" w:lineRule="auto"/>
        <w:jc w:val="both"/>
        <w:rPr>
          <w:rFonts w:eastAsia="Times New Roman" w:cstheme="minorHAnsi"/>
          <w:sz w:val="24"/>
          <w:szCs w:val="24"/>
          <w:lang w:eastAsia="es-ES"/>
        </w:rPr>
      </w:pPr>
      <w:r w:rsidRPr="004512B3">
        <w:rPr>
          <w:rFonts w:eastAsia="Times New Roman" w:cstheme="minorHAnsi"/>
          <w:sz w:val="24"/>
          <w:szCs w:val="24"/>
          <w:lang w:eastAsia="es-ES"/>
        </w:rPr>
        <w:t xml:space="preserve">Inscripción en el Censo de empresarios, profesionales y retenedores de la Agencia Estatal de la Administración Tributaria o en el Censo equivalente de la </w:t>
      </w:r>
      <w:r w:rsidRPr="004512B3">
        <w:rPr>
          <w:rFonts w:eastAsia="Times New Roman" w:cstheme="minorHAnsi"/>
          <w:sz w:val="24"/>
          <w:szCs w:val="24"/>
          <w:lang w:eastAsia="es-ES"/>
        </w:rPr>
        <w:lastRenderedPageBreak/>
        <w:t>Administración Tributaria Foral, que debe reflejar la actividad efectivamente desarrollada en la fecha de participación en el procedimiento de licitación.</w:t>
      </w:r>
    </w:p>
    <w:p w:rsidR="001C0E19" w:rsidRDefault="004512B3" w:rsidP="004512B3">
      <w:pPr>
        <w:pStyle w:val="Prrafodelista"/>
        <w:numPr>
          <w:ilvl w:val="0"/>
          <w:numId w:val="8"/>
        </w:numPr>
        <w:tabs>
          <w:tab w:val="left" w:pos="3402"/>
        </w:tabs>
        <w:spacing w:before="120" w:after="120" w:line="276" w:lineRule="auto"/>
        <w:jc w:val="both"/>
        <w:rPr>
          <w:rFonts w:eastAsia="Times New Roman" w:cstheme="minorHAnsi"/>
          <w:sz w:val="24"/>
          <w:szCs w:val="24"/>
          <w:lang w:eastAsia="es-ES"/>
        </w:rPr>
      </w:pPr>
      <w:r w:rsidRPr="004512B3">
        <w:rPr>
          <w:rFonts w:eastAsia="Times New Roman" w:cstheme="minorHAnsi"/>
          <w:sz w:val="24"/>
          <w:szCs w:val="24"/>
          <w:lang w:eastAsia="es-ES"/>
        </w:rPr>
        <w:t xml:space="preserve">Declaración de cesión y tratamiento de datos en relación con la ejecución de actuaciones del plan de recuperación, transformación y resiliencia (PRTR), que deberá presentar el adjudicatario, así como la empresa que aporte su solvencia. </w:t>
      </w:r>
      <w:r w:rsidR="001C0E19">
        <w:rPr>
          <w:rFonts w:eastAsia="Times New Roman" w:cstheme="minorHAnsi"/>
          <w:sz w:val="24"/>
          <w:szCs w:val="24"/>
          <w:lang w:eastAsia="es-ES"/>
        </w:rPr>
        <w:t>(Anexo B declaraciones complementarias).</w:t>
      </w:r>
    </w:p>
    <w:p w:rsidR="004512B3" w:rsidRDefault="004512B3" w:rsidP="004512B3">
      <w:pPr>
        <w:pStyle w:val="Prrafodelista"/>
        <w:numPr>
          <w:ilvl w:val="0"/>
          <w:numId w:val="8"/>
        </w:numPr>
        <w:tabs>
          <w:tab w:val="left" w:pos="3402"/>
        </w:tabs>
        <w:spacing w:before="120" w:after="120" w:line="276" w:lineRule="auto"/>
        <w:jc w:val="both"/>
        <w:rPr>
          <w:rFonts w:eastAsia="Times New Roman" w:cstheme="minorHAnsi"/>
          <w:sz w:val="24"/>
          <w:szCs w:val="24"/>
          <w:lang w:eastAsia="es-ES"/>
        </w:rPr>
      </w:pPr>
      <w:r w:rsidRPr="004512B3">
        <w:rPr>
          <w:rFonts w:eastAsia="Times New Roman" w:cstheme="minorHAnsi"/>
          <w:sz w:val="24"/>
          <w:szCs w:val="24"/>
          <w:lang w:eastAsia="es-ES"/>
        </w:rPr>
        <w:t>El contratista deberá aportarla respecto a los subcontratistas cuando realice los subcontratos.</w:t>
      </w:r>
      <w:r>
        <w:rPr>
          <w:rFonts w:eastAsia="Times New Roman" w:cstheme="minorHAnsi"/>
          <w:sz w:val="24"/>
          <w:szCs w:val="24"/>
          <w:lang w:eastAsia="es-ES"/>
        </w:rPr>
        <w:t xml:space="preserve"> (Anexo B declaraciones complementarias)</w:t>
      </w:r>
      <w:r w:rsidR="001C0E19">
        <w:rPr>
          <w:rFonts w:eastAsia="Times New Roman" w:cstheme="minorHAnsi"/>
          <w:sz w:val="24"/>
          <w:szCs w:val="24"/>
          <w:lang w:eastAsia="es-ES"/>
        </w:rPr>
        <w:t>. El contratista firma esta declaración que le obliga en relación con todos los subcontratos que realice a presentar:</w:t>
      </w:r>
    </w:p>
    <w:p w:rsidR="001C0E19" w:rsidRPr="00371293" w:rsidRDefault="001C0E19" w:rsidP="001C0E19">
      <w:pPr>
        <w:pStyle w:val="Prrafodelista"/>
        <w:numPr>
          <w:ilvl w:val="1"/>
          <w:numId w:val="9"/>
        </w:numPr>
        <w:autoSpaceDE w:val="0"/>
        <w:autoSpaceDN w:val="0"/>
        <w:adjustRightInd w:val="0"/>
        <w:spacing w:before="120" w:after="120" w:line="276" w:lineRule="auto"/>
        <w:rPr>
          <w:rFonts w:cstheme="minorHAnsi"/>
          <w:color w:val="000000"/>
          <w:sz w:val="24"/>
          <w:lang w:val="es-ES_tradnl"/>
        </w:rPr>
      </w:pPr>
      <w:r w:rsidRPr="00371293">
        <w:rPr>
          <w:rFonts w:cstheme="minorHAnsi"/>
          <w:color w:val="000000"/>
          <w:sz w:val="24"/>
          <w:lang w:val="es-ES_tradnl"/>
        </w:rPr>
        <w:t>NIF</w:t>
      </w:r>
    </w:p>
    <w:p w:rsidR="001C0E19" w:rsidRPr="00371293" w:rsidRDefault="001C0E19" w:rsidP="001C0E19">
      <w:pPr>
        <w:pStyle w:val="Prrafodelista"/>
        <w:numPr>
          <w:ilvl w:val="1"/>
          <w:numId w:val="9"/>
        </w:numPr>
        <w:autoSpaceDE w:val="0"/>
        <w:autoSpaceDN w:val="0"/>
        <w:adjustRightInd w:val="0"/>
        <w:spacing w:before="120" w:after="120" w:line="276" w:lineRule="auto"/>
        <w:rPr>
          <w:rFonts w:cstheme="minorHAnsi"/>
          <w:color w:val="000000"/>
          <w:sz w:val="24"/>
          <w:lang w:val="es-ES_tradnl"/>
        </w:rPr>
      </w:pPr>
      <w:r w:rsidRPr="00371293">
        <w:rPr>
          <w:rFonts w:cstheme="minorHAnsi"/>
          <w:color w:val="000000"/>
          <w:sz w:val="24"/>
          <w:lang w:val="es-ES_tradnl"/>
        </w:rPr>
        <w:t xml:space="preserve">Nombre de la persona física o razón social de la persona jurídica. </w:t>
      </w:r>
    </w:p>
    <w:p w:rsidR="001C0E19" w:rsidRPr="00371293" w:rsidRDefault="001C0E19" w:rsidP="001C0E19">
      <w:pPr>
        <w:pStyle w:val="Prrafodelista"/>
        <w:numPr>
          <w:ilvl w:val="1"/>
          <w:numId w:val="9"/>
        </w:numPr>
        <w:autoSpaceDE w:val="0"/>
        <w:autoSpaceDN w:val="0"/>
        <w:adjustRightInd w:val="0"/>
        <w:spacing w:before="120" w:after="120" w:line="276" w:lineRule="auto"/>
        <w:rPr>
          <w:rFonts w:cstheme="minorHAnsi"/>
          <w:color w:val="000000"/>
          <w:sz w:val="24"/>
          <w:lang w:val="es-ES_tradnl"/>
        </w:rPr>
      </w:pPr>
      <w:r w:rsidRPr="00371293">
        <w:rPr>
          <w:rFonts w:cstheme="minorHAnsi"/>
          <w:color w:val="000000"/>
          <w:sz w:val="24"/>
          <w:lang w:val="es-ES_tradnl"/>
        </w:rPr>
        <w:t>Domicilio fiscal de la persona física o jurídica</w:t>
      </w:r>
    </w:p>
    <w:p w:rsidR="001C0E19" w:rsidRPr="00371293" w:rsidRDefault="001C0E19" w:rsidP="001C0E19">
      <w:pPr>
        <w:pStyle w:val="Prrafodelista"/>
        <w:numPr>
          <w:ilvl w:val="1"/>
          <w:numId w:val="9"/>
        </w:numPr>
        <w:tabs>
          <w:tab w:val="left" w:pos="3402"/>
        </w:tabs>
        <w:spacing w:before="120" w:after="120" w:line="276" w:lineRule="auto"/>
        <w:rPr>
          <w:rFonts w:cstheme="minorHAnsi"/>
          <w:color w:val="000000"/>
          <w:sz w:val="24"/>
          <w:lang w:val="es-ES_tradnl"/>
        </w:rPr>
      </w:pPr>
      <w:r w:rsidRPr="00371293">
        <w:rPr>
          <w:rFonts w:cstheme="minorHAnsi"/>
          <w:color w:val="000000"/>
          <w:sz w:val="24"/>
          <w:lang w:val="es-ES_tradnl"/>
        </w:rPr>
        <w:t>Declaración de cesión y tratamiento de datos en relación con la ejecución de actuaciones del plan de recuperación, transformación y resiliencia (PRTR)</w:t>
      </w:r>
    </w:p>
    <w:p w:rsidR="001C0E19" w:rsidRPr="00371293" w:rsidRDefault="001C0E19" w:rsidP="001C0E19">
      <w:pPr>
        <w:pStyle w:val="Prrafodelista"/>
        <w:numPr>
          <w:ilvl w:val="1"/>
          <w:numId w:val="9"/>
        </w:numPr>
        <w:tabs>
          <w:tab w:val="left" w:pos="3402"/>
        </w:tabs>
        <w:spacing w:before="120" w:after="120" w:line="276" w:lineRule="auto"/>
        <w:rPr>
          <w:rFonts w:cstheme="minorHAnsi"/>
          <w:color w:val="000000"/>
          <w:sz w:val="24"/>
          <w:lang w:val="es-ES_tradnl"/>
        </w:rPr>
      </w:pPr>
      <w:r w:rsidRPr="00371293">
        <w:rPr>
          <w:rFonts w:cstheme="minorHAnsi"/>
          <w:color w:val="000000"/>
          <w:sz w:val="24"/>
          <w:lang w:val="es-ES_tradnl"/>
        </w:rPr>
        <w:t>Declaración de compromiso en relación con la ejecución de actuaciones del plan de recuperación, transformación y resiliencia (PRTR)</w:t>
      </w:r>
    </w:p>
    <w:p w:rsidR="001C0E19" w:rsidRPr="001C0E19" w:rsidRDefault="001C0E19" w:rsidP="001C0E19">
      <w:pPr>
        <w:pStyle w:val="Prrafodelista"/>
        <w:tabs>
          <w:tab w:val="left" w:pos="3402"/>
        </w:tabs>
        <w:spacing w:before="120" w:after="120" w:line="276" w:lineRule="auto"/>
        <w:ind w:left="1440"/>
        <w:rPr>
          <w:rFonts w:ascii="Arial Narrow" w:hAnsi="Arial Narrow" w:cs="Arial"/>
          <w:color w:val="000000"/>
          <w:lang w:val="es-ES_tradnl"/>
        </w:rPr>
      </w:pPr>
    </w:p>
    <w:p w:rsidR="004512B3" w:rsidRDefault="004512B3" w:rsidP="004512B3">
      <w:pPr>
        <w:pStyle w:val="Prrafodelista"/>
        <w:numPr>
          <w:ilvl w:val="0"/>
          <w:numId w:val="8"/>
        </w:numPr>
        <w:tabs>
          <w:tab w:val="left" w:pos="3402"/>
        </w:tabs>
        <w:spacing w:before="120" w:after="120" w:line="276" w:lineRule="auto"/>
        <w:jc w:val="both"/>
        <w:rPr>
          <w:rFonts w:eastAsia="Times New Roman" w:cstheme="minorHAnsi"/>
          <w:sz w:val="24"/>
          <w:szCs w:val="24"/>
          <w:lang w:eastAsia="es-ES"/>
        </w:rPr>
      </w:pPr>
      <w:r w:rsidRPr="004512B3">
        <w:rPr>
          <w:rFonts w:eastAsia="Times New Roman" w:cstheme="minorHAnsi"/>
          <w:sz w:val="24"/>
          <w:szCs w:val="24"/>
          <w:lang w:eastAsia="es-ES"/>
        </w:rPr>
        <w:t xml:space="preserve">Declaración de compromiso en relación con la ejecución de actuaciones del plan de recuperación, transformación y resiliencia (PRTR), que deberá presentar el </w:t>
      </w:r>
      <w:r w:rsidR="00371293" w:rsidRPr="004512B3">
        <w:rPr>
          <w:rFonts w:eastAsia="Times New Roman" w:cstheme="minorHAnsi"/>
          <w:sz w:val="24"/>
          <w:szCs w:val="24"/>
          <w:lang w:eastAsia="es-ES"/>
        </w:rPr>
        <w:t>adjudicatario,</w:t>
      </w:r>
      <w:r w:rsidRPr="004512B3">
        <w:rPr>
          <w:rFonts w:eastAsia="Times New Roman" w:cstheme="minorHAnsi"/>
          <w:sz w:val="24"/>
          <w:szCs w:val="24"/>
          <w:lang w:eastAsia="es-ES"/>
        </w:rPr>
        <w:t xml:space="preserve"> así como la empresa que aporte su solvencia. El contratista deberá aportarla respecto a los subcontratistas cuando realice los subcontratos.</w:t>
      </w:r>
      <w:r>
        <w:rPr>
          <w:rFonts w:eastAsia="Times New Roman" w:cstheme="minorHAnsi"/>
          <w:sz w:val="24"/>
          <w:szCs w:val="24"/>
          <w:lang w:eastAsia="es-ES"/>
        </w:rPr>
        <w:t xml:space="preserve"> (Anexo C declaraciones complementarias)</w:t>
      </w:r>
    </w:p>
    <w:p w:rsidR="004512B3" w:rsidRPr="007671A1" w:rsidRDefault="007671A1" w:rsidP="000502EB">
      <w:pPr>
        <w:spacing w:after="0" w:line="276" w:lineRule="auto"/>
        <w:jc w:val="both"/>
        <w:rPr>
          <w:rFonts w:eastAsia="Times New Roman" w:cstheme="minorHAnsi"/>
          <w:color w:val="000000"/>
          <w:sz w:val="24"/>
          <w:szCs w:val="24"/>
          <w:lang w:eastAsia="es-ES"/>
        </w:rPr>
      </w:pPr>
      <w:r>
        <w:rPr>
          <w:rFonts w:eastAsia="Times New Roman" w:cstheme="minorHAnsi"/>
          <w:b/>
          <w:color w:val="000000"/>
          <w:sz w:val="24"/>
          <w:szCs w:val="24"/>
          <w:lang w:eastAsia="es-ES"/>
        </w:rPr>
        <w:t xml:space="preserve">7.- Contrato: </w:t>
      </w:r>
      <w:r w:rsidRPr="007671A1">
        <w:rPr>
          <w:rFonts w:eastAsia="Times New Roman" w:cstheme="minorHAnsi"/>
          <w:color w:val="000000"/>
          <w:sz w:val="24"/>
          <w:szCs w:val="24"/>
          <w:lang w:eastAsia="es-ES"/>
        </w:rPr>
        <w:t>Tiene que llevar los logos</w:t>
      </w:r>
    </w:p>
    <w:p w:rsidR="007671A1" w:rsidRDefault="007671A1" w:rsidP="000502EB">
      <w:pPr>
        <w:spacing w:after="0" w:line="276" w:lineRule="auto"/>
        <w:jc w:val="both"/>
        <w:rPr>
          <w:rFonts w:eastAsia="Times New Roman" w:cstheme="minorHAnsi"/>
          <w:b/>
          <w:color w:val="000000"/>
          <w:sz w:val="24"/>
          <w:szCs w:val="24"/>
          <w:lang w:eastAsia="es-ES"/>
        </w:rPr>
      </w:pPr>
    </w:p>
    <w:p w:rsidR="008F7095" w:rsidRDefault="007671A1" w:rsidP="000502EB">
      <w:pPr>
        <w:spacing w:after="0" w:line="276" w:lineRule="auto"/>
        <w:jc w:val="both"/>
        <w:rPr>
          <w:rFonts w:eastAsia="Times New Roman" w:cstheme="minorHAnsi"/>
          <w:color w:val="000000"/>
          <w:sz w:val="24"/>
          <w:szCs w:val="24"/>
          <w:lang w:eastAsia="es-ES"/>
        </w:rPr>
      </w:pPr>
      <w:r>
        <w:rPr>
          <w:rFonts w:eastAsia="Times New Roman" w:cstheme="minorHAnsi"/>
          <w:b/>
          <w:color w:val="000000"/>
          <w:sz w:val="24"/>
          <w:szCs w:val="24"/>
          <w:lang w:eastAsia="es-ES"/>
        </w:rPr>
        <w:t>8</w:t>
      </w:r>
      <w:r w:rsidR="00F844C0">
        <w:rPr>
          <w:rFonts w:eastAsia="Times New Roman" w:cstheme="minorHAnsi"/>
          <w:b/>
          <w:color w:val="000000"/>
          <w:sz w:val="24"/>
          <w:szCs w:val="24"/>
          <w:lang w:eastAsia="es-ES"/>
        </w:rPr>
        <w:t xml:space="preserve">.- </w:t>
      </w:r>
      <w:r w:rsidR="00A96506" w:rsidRPr="000502EB">
        <w:rPr>
          <w:rFonts w:eastAsia="Times New Roman" w:cstheme="minorHAnsi"/>
          <w:b/>
          <w:color w:val="000000"/>
          <w:sz w:val="24"/>
          <w:szCs w:val="24"/>
          <w:lang w:eastAsia="es-ES"/>
        </w:rPr>
        <w:t>Recurso especial</w:t>
      </w:r>
      <w:r w:rsidR="00A96506" w:rsidRPr="000502EB">
        <w:rPr>
          <w:rFonts w:eastAsia="Times New Roman" w:cstheme="minorHAnsi"/>
          <w:color w:val="000000"/>
          <w:sz w:val="24"/>
          <w:szCs w:val="24"/>
          <w:lang w:eastAsia="es-ES"/>
        </w:rPr>
        <w:t xml:space="preserve"> (art 58 RDL 36/2020</w:t>
      </w:r>
      <w:r w:rsidR="000502EB">
        <w:rPr>
          <w:rFonts w:eastAsia="Times New Roman" w:cstheme="minorHAnsi"/>
          <w:color w:val="000000"/>
          <w:sz w:val="24"/>
          <w:szCs w:val="24"/>
          <w:lang w:eastAsia="es-ES"/>
        </w:rPr>
        <w:t>)</w:t>
      </w:r>
      <w:r w:rsidR="00A96506" w:rsidRPr="000502EB">
        <w:rPr>
          <w:rFonts w:eastAsia="Times New Roman" w:cstheme="minorHAnsi"/>
          <w:color w:val="000000"/>
          <w:sz w:val="24"/>
          <w:szCs w:val="24"/>
          <w:lang w:eastAsia="es-ES"/>
        </w:rPr>
        <w:t xml:space="preserve">: </w:t>
      </w:r>
    </w:p>
    <w:p w:rsidR="004512B3" w:rsidRPr="004512B3" w:rsidRDefault="004512B3" w:rsidP="004512B3">
      <w:pPr>
        <w:pStyle w:val="Prrafodelista"/>
        <w:numPr>
          <w:ilvl w:val="0"/>
          <w:numId w:val="7"/>
        </w:numPr>
        <w:spacing w:after="0" w:line="276" w:lineRule="auto"/>
        <w:jc w:val="both"/>
        <w:rPr>
          <w:rFonts w:eastAsia="Times New Roman" w:cstheme="minorHAnsi"/>
          <w:sz w:val="24"/>
          <w:szCs w:val="24"/>
          <w:lang w:eastAsia="es-ES"/>
        </w:rPr>
      </w:pPr>
      <w:r w:rsidRPr="004512B3">
        <w:rPr>
          <w:rFonts w:eastAsia="Times New Roman" w:cstheme="minorHAnsi"/>
          <w:sz w:val="24"/>
          <w:szCs w:val="24"/>
          <w:lang w:eastAsia="es-ES"/>
        </w:rPr>
        <w:t>No se</w:t>
      </w:r>
      <w:r w:rsidR="008F7095" w:rsidRPr="004512B3">
        <w:rPr>
          <w:rFonts w:eastAsia="Times New Roman" w:cstheme="minorHAnsi"/>
          <w:sz w:val="24"/>
          <w:szCs w:val="24"/>
          <w:lang w:eastAsia="es-ES"/>
        </w:rPr>
        <w:t xml:space="preserve"> podrá </w:t>
      </w:r>
      <w:r w:rsidRPr="004512B3">
        <w:rPr>
          <w:rFonts w:eastAsia="Times New Roman" w:cstheme="minorHAnsi"/>
          <w:sz w:val="24"/>
          <w:szCs w:val="24"/>
          <w:lang w:eastAsia="es-ES"/>
        </w:rPr>
        <w:t xml:space="preserve">formalizar </w:t>
      </w:r>
      <w:r w:rsidR="008F7095" w:rsidRPr="004512B3">
        <w:rPr>
          <w:rFonts w:eastAsia="Times New Roman" w:cstheme="minorHAnsi"/>
          <w:sz w:val="24"/>
          <w:szCs w:val="24"/>
          <w:lang w:eastAsia="es-ES"/>
        </w:rPr>
        <w:t>el contrato hasta que hayan transcurrido diez días naturales a partir del día siguiente a la notificación, la resolución de adjudicación del contrato</w:t>
      </w:r>
    </w:p>
    <w:p w:rsidR="00A96506" w:rsidRPr="004512B3" w:rsidRDefault="004512B3" w:rsidP="004512B3">
      <w:pPr>
        <w:pStyle w:val="Prrafodelista"/>
        <w:numPr>
          <w:ilvl w:val="0"/>
          <w:numId w:val="7"/>
        </w:numPr>
        <w:spacing w:after="0" w:line="276" w:lineRule="auto"/>
        <w:jc w:val="both"/>
        <w:rPr>
          <w:rFonts w:eastAsia="Times New Roman" w:cstheme="minorHAnsi"/>
          <w:sz w:val="24"/>
          <w:szCs w:val="24"/>
          <w:lang w:eastAsia="es-ES"/>
        </w:rPr>
      </w:pPr>
      <w:r w:rsidRPr="004512B3">
        <w:rPr>
          <w:rFonts w:eastAsia="Times New Roman" w:cstheme="minorHAnsi"/>
          <w:sz w:val="24"/>
          <w:szCs w:val="24"/>
          <w:lang w:eastAsia="es-ES"/>
        </w:rPr>
        <w:t xml:space="preserve">Plazo de interposición del recurso: </w:t>
      </w:r>
      <w:r w:rsidR="00A96506" w:rsidRPr="004512B3">
        <w:rPr>
          <w:rFonts w:eastAsia="Times New Roman" w:cstheme="minorHAnsi"/>
          <w:sz w:val="24"/>
          <w:szCs w:val="24"/>
          <w:lang w:eastAsia="es-ES"/>
        </w:rPr>
        <w:t>10 días naturales</w:t>
      </w:r>
    </w:p>
    <w:p w:rsidR="00D85A03" w:rsidRPr="004221F2" w:rsidRDefault="00D85A03" w:rsidP="004221F2">
      <w:pPr>
        <w:spacing w:line="276" w:lineRule="auto"/>
        <w:jc w:val="both"/>
        <w:rPr>
          <w:rFonts w:cstheme="minorHAnsi"/>
          <w:sz w:val="24"/>
          <w:szCs w:val="24"/>
        </w:rPr>
      </w:pPr>
    </w:p>
    <w:sectPr w:rsidR="00D85A03" w:rsidRPr="004221F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4C0" w:rsidRDefault="00F844C0" w:rsidP="00F844C0">
      <w:pPr>
        <w:spacing w:after="0" w:line="240" w:lineRule="auto"/>
      </w:pPr>
      <w:r>
        <w:separator/>
      </w:r>
    </w:p>
  </w:endnote>
  <w:endnote w:type="continuationSeparator" w:id="0">
    <w:p w:rsidR="00F844C0" w:rsidRDefault="00F844C0" w:rsidP="00F84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1092608"/>
      <w:docPartObj>
        <w:docPartGallery w:val="Page Numbers (Bottom of Page)"/>
        <w:docPartUnique/>
      </w:docPartObj>
    </w:sdtPr>
    <w:sdtEndPr/>
    <w:sdtContent>
      <w:p w:rsidR="00236576" w:rsidRDefault="00236576">
        <w:pPr>
          <w:pStyle w:val="Piedepgina"/>
          <w:jc w:val="center"/>
        </w:pPr>
        <w:r>
          <w:fldChar w:fldCharType="begin"/>
        </w:r>
        <w:r>
          <w:instrText>PAGE   \* MERGEFORMAT</w:instrText>
        </w:r>
        <w:r>
          <w:fldChar w:fldCharType="separate"/>
        </w:r>
        <w:r>
          <w:t>2</w:t>
        </w:r>
        <w:r>
          <w:fldChar w:fldCharType="end"/>
        </w:r>
      </w:p>
    </w:sdtContent>
  </w:sdt>
  <w:p w:rsidR="00236576" w:rsidRDefault="002365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4C0" w:rsidRDefault="00F844C0" w:rsidP="00F844C0">
      <w:pPr>
        <w:spacing w:after="0" w:line="240" w:lineRule="auto"/>
      </w:pPr>
      <w:r>
        <w:separator/>
      </w:r>
    </w:p>
  </w:footnote>
  <w:footnote w:type="continuationSeparator" w:id="0">
    <w:p w:rsidR="00F844C0" w:rsidRDefault="00F844C0" w:rsidP="00F844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4C0" w:rsidRDefault="00F844C0">
    <w:pPr>
      <w:pStyle w:val="Encabezado"/>
      <w:jc w:val="center"/>
    </w:pPr>
  </w:p>
  <w:p w:rsidR="00F844C0" w:rsidRDefault="00F844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972DB"/>
    <w:multiLevelType w:val="hybridMultilevel"/>
    <w:tmpl w:val="308A90CE"/>
    <w:lvl w:ilvl="0" w:tplc="FF24A866">
      <w:numFmt w:val="bullet"/>
      <w:lvlText w:val="-"/>
      <w:lvlJc w:val="left"/>
      <w:pPr>
        <w:ind w:left="720" w:hanging="360"/>
      </w:pPr>
      <w:rPr>
        <w:rFonts w:ascii="Calibri" w:eastAsia="Times New Roman" w:hAnsi="Calibri" w:cs="Calibri" w:hint="default"/>
        <w:color w:val="00000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93429D"/>
    <w:multiLevelType w:val="hybridMultilevel"/>
    <w:tmpl w:val="F908547C"/>
    <w:lvl w:ilvl="0" w:tplc="FF24A866">
      <w:numFmt w:val="bullet"/>
      <w:lvlText w:val="-"/>
      <w:lvlJc w:val="left"/>
      <w:pPr>
        <w:ind w:left="720" w:hanging="360"/>
      </w:pPr>
      <w:rPr>
        <w:rFonts w:ascii="Calibri" w:eastAsia="Times New Roman"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E41712"/>
    <w:multiLevelType w:val="hybridMultilevel"/>
    <w:tmpl w:val="92F2F272"/>
    <w:lvl w:ilvl="0" w:tplc="FF24A866">
      <w:numFmt w:val="bullet"/>
      <w:lvlText w:val="-"/>
      <w:lvlJc w:val="left"/>
      <w:pPr>
        <w:ind w:left="720" w:hanging="360"/>
      </w:pPr>
      <w:rPr>
        <w:rFonts w:ascii="Calibri" w:eastAsia="Times New Roman"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0616B9F"/>
    <w:multiLevelType w:val="multilevel"/>
    <w:tmpl w:val="9B823EE6"/>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6105"/>
        </w:tabs>
        <w:ind w:left="6105"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 w15:restartNumberingAfterBreak="0">
    <w:nsid w:val="50D12E5C"/>
    <w:multiLevelType w:val="hybridMultilevel"/>
    <w:tmpl w:val="7DAEE788"/>
    <w:lvl w:ilvl="0" w:tplc="FF24A866">
      <w:numFmt w:val="bullet"/>
      <w:lvlText w:val="-"/>
      <w:lvlJc w:val="left"/>
      <w:pPr>
        <w:ind w:left="720" w:hanging="360"/>
      </w:pPr>
      <w:rPr>
        <w:rFonts w:ascii="Calibri" w:eastAsia="Times New Roman" w:hAnsi="Calibri" w:cs="Calibri" w:hint="default"/>
        <w:color w:val="000000"/>
      </w:rPr>
    </w:lvl>
    <w:lvl w:ilvl="1" w:tplc="64EAFD48">
      <w:start w:val="8"/>
      <w:numFmt w:val="bullet"/>
      <w:lvlText w:val="-"/>
      <w:lvlJc w:val="left"/>
      <w:pPr>
        <w:ind w:left="1440" w:hanging="360"/>
      </w:pPr>
      <w:rPr>
        <w:rFonts w:ascii="Arial Narrow" w:eastAsia="Times New Roman" w:hAnsi="Arial Narrow"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BDA0B6F"/>
    <w:multiLevelType w:val="multilevel"/>
    <w:tmpl w:val="BD62F3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81355E1"/>
    <w:multiLevelType w:val="hybridMultilevel"/>
    <w:tmpl w:val="D7403F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8E37558"/>
    <w:multiLevelType w:val="hybridMultilevel"/>
    <w:tmpl w:val="9F60BF7C"/>
    <w:lvl w:ilvl="0" w:tplc="B628AABC">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5"/>
  </w:num>
  <w:num w:numId="4">
    <w:abstractNumId w:val="7"/>
  </w:num>
  <w:num w:numId="5">
    <w:abstractNumId w:val="1"/>
  </w:num>
  <w:num w:numId="6">
    <w:abstractNumId w:val="6"/>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329"/>
    <w:rsid w:val="000502EB"/>
    <w:rsid w:val="000C26EA"/>
    <w:rsid w:val="00102BB2"/>
    <w:rsid w:val="001C0E19"/>
    <w:rsid w:val="001D02F3"/>
    <w:rsid w:val="00236576"/>
    <w:rsid w:val="00266329"/>
    <w:rsid w:val="002970A0"/>
    <w:rsid w:val="00353A2F"/>
    <w:rsid w:val="00371293"/>
    <w:rsid w:val="00407B71"/>
    <w:rsid w:val="004221F2"/>
    <w:rsid w:val="004512B3"/>
    <w:rsid w:val="00501260"/>
    <w:rsid w:val="007671A1"/>
    <w:rsid w:val="007C5A51"/>
    <w:rsid w:val="008F5C4B"/>
    <w:rsid w:val="008F7095"/>
    <w:rsid w:val="009F589E"/>
    <w:rsid w:val="00A96506"/>
    <w:rsid w:val="00B14153"/>
    <w:rsid w:val="00C14D20"/>
    <w:rsid w:val="00D85A03"/>
    <w:rsid w:val="00E04467"/>
    <w:rsid w:val="00E16965"/>
    <w:rsid w:val="00F844C0"/>
    <w:rsid w:val="00FA08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05D71"/>
  <w15:chartTrackingRefBased/>
  <w15:docId w15:val="{25C7F998-E3C4-47F1-BCC2-A07B54CAD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autoRedefine/>
    <w:qFormat/>
    <w:rsid w:val="009F589E"/>
    <w:pPr>
      <w:keepNext/>
      <w:spacing w:before="200" w:after="120" w:line="360" w:lineRule="auto"/>
      <w:jc w:val="both"/>
      <w:outlineLvl w:val="1"/>
    </w:pPr>
    <w:rPr>
      <w:rFonts w:ascii="Verdana" w:hAnsi="Verdana"/>
      <w:b/>
      <w:sz w:val="24"/>
      <w:szCs w:val="24"/>
    </w:rPr>
  </w:style>
  <w:style w:type="paragraph" w:styleId="Ttulo3">
    <w:name w:val="heading 3"/>
    <w:basedOn w:val="Normal"/>
    <w:next w:val="Normal"/>
    <w:link w:val="Ttulo3Car"/>
    <w:autoRedefine/>
    <w:qFormat/>
    <w:rsid w:val="009F589E"/>
    <w:pPr>
      <w:keepNext/>
      <w:numPr>
        <w:ilvl w:val="2"/>
        <w:numId w:val="3"/>
      </w:numPr>
      <w:tabs>
        <w:tab w:val="num" w:pos="720"/>
      </w:tabs>
      <w:spacing w:before="180" w:after="120" w:line="360" w:lineRule="auto"/>
      <w:outlineLvl w:val="2"/>
    </w:pPr>
    <w:rPr>
      <w:rFonts w:ascii="Verdana" w:hAnsi="Verdana"/>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9F589E"/>
    <w:rPr>
      <w:rFonts w:ascii="Verdana" w:hAnsi="Verdana"/>
      <w:b/>
      <w:sz w:val="24"/>
      <w:szCs w:val="24"/>
    </w:rPr>
  </w:style>
  <w:style w:type="character" w:customStyle="1" w:styleId="Ttulo3Car">
    <w:name w:val="Título 3 Car"/>
    <w:link w:val="Ttulo3"/>
    <w:rsid w:val="009F589E"/>
    <w:rPr>
      <w:rFonts w:ascii="Verdana" w:hAnsi="Verdana"/>
      <w:sz w:val="24"/>
      <w:u w:val="single"/>
    </w:rPr>
  </w:style>
  <w:style w:type="paragraph" w:styleId="TDC1">
    <w:name w:val="toc 1"/>
    <w:basedOn w:val="Normal"/>
    <w:next w:val="Descripcin"/>
    <w:autoRedefine/>
    <w:uiPriority w:val="39"/>
    <w:qFormat/>
    <w:rsid w:val="009F589E"/>
    <w:pPr>
      <w:keepLines/>
      <w:widowControl w:val="0"/>
      <w:tabs>
        <w:tab w:val="left" w:pos="567"/>
        <w:tab w:val="right" w:leader="dot" w:pos="8827"/>
      </w:tabs>
      <w:spacing w:before="60" w:after="120" w:line="240" w:lineRule="auto"/>
      <w:ind w:left="567" w:hanging="567"/>
      <w:jc w:val="both"/>
    </w:pPr>
    <w:rPr>
      <w:rFonts w:ascii="Verdana" w:eastAsia="Times New Roman" w:hAnsi="Verdana" w:cs="Times New Roman"/>
      <w:b/>
      <w:sz w:val="24"/>
      <w:szCs w:val="20"/>
      <w:lang w:val="en-US" w:eastAsia="es-ES"/>
    </w:rPr>
  </w:style>
  <w:style w:type="paragraph" w:styleId="Descripcin">
    <w:name w:val="caption"/>
    <w:basedOn w:val="Normal"/>
    <w:next w:val="Normal"/>
    <w:uiPriority w:val="35"/>
    <w:semiHidden/>
    <w:unhideWhenUsed/>
    <w:qFormat/>
    <w:rsid w:val="009F589E"/>
    <w:pPr>
      <w:spacing w:after="200" w:line="240" w:lineRule="auto"/>
    </w:pPr>
    <w:rPr>
      <w:i/>
      <w:iCs/>
      <w:color w:val="44546A" w:themeColor="text2"/>
      <w:sz w:val="18"/>
      <w:szCs w:val="18"/>
    </w:rPr>
  </w:style>
  <w:style w:type="paragraph" w:styleId="TDC2">
    <w:name w:val="toc 2"/>
    <w:basedOn w:val="Normal"/>
    <w:next w:val="Normal"/>
    <w:autoRedefine/>
    <w:uiPriority w:val="39"/>
    <w:qFormat/>
    <w:rsid w:val="009F589E"/>
    <w:pPr>
      <w:keepLines/>
      <w:widowControl w:val="0"/>
      <w:tabs>
        <w:tab w:val="left" w:pos="720"/>
        <w:tab w:val="right" w:leader="dot" w:pos="8827"/>
      </w:tabs>
      <w:spacing w:after="120" w:line="240" w:lineRule="auto"/>
      <w:ind w:left="720" w:hanging="720"/>
    </w:pPr>
    <w:rPr>
      <w:rFonts w:ascii="Verdana" w:eastAsia="Times New Roman" w:hAnsi="Verdana" w:cs="Times New Roman"/>
      <w:sz w:val="24"/>
      <w:szCs w:val="20"/>
      <w:lang w:val="en-US" w:eastAsia="es-ES"/>
    </w:rPr>
  </w:style>
  <w:style w:type="paragraph" w:styleId="Prrafodelista">
    <w:name w:val="List Paragraph"/>
    <w:basedOn w:val="Normal"/>
    <w:uiPriority w:val="34"/>
    <w:qFormat/>
    <w:rsid w:val="00C14D20"/>
    <w:pPr>
      <w:ind w:left="720"/>
      <w:contextualSpacing/>
    </w:pPr>
  </w:style>
  <w:style w:type="paragraph" w:styleId="Encabezado">
    <w:name w:val="header"/>
    <w:basedOn w:val="Normal"/>
    <w:link w:val="EncabezadoCar"/>
    <w:uiPriority w:val="99"/>
    <w:unhideWhenUsed/>
    <w:rsid w:val="00F844C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44C0"/>
  </w:style>
  <w:style w:type="paragraph" w:styleId="Piedepgina">
    <w:name w:val="footer"/>
    <w:basedOn w:val="Normal"/>
    <w:link w:val="PiedepginaCar"/>
    <w:uiPriority w:val="99"/>
    <w:unhideWhenUsed/>
    <w:rsid w:val="00F844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4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605880">
      <w:bodyDiv w:val="1"/>
      <w:marLeft w:val="0"/>
      <w:marRight w:val="0"/>
      <w:marTop w:val="0"/>
      <w:marBottom w:val="0"/>
      <w:divBdr>
        <w:top w:val="none" w:sz="0" w:space="0" w:color="auto"/>
        <w:left w:val="none" w:sz="0" w:space="0" w:color="auto"/>
        <w:bottom w:val="none" w:sz="0" w:space="0" w:color="auto"/>
        <w:right w:val="none" w:sz="0" w:space="0" w:color="auto"/>
      </w:divBdr>
      <w:divsChild>
        <w:div w:id="1865167861">
          <w:marLeft w:val="0"/>
          <w:marRight w:val="0"/>
          <w:marTop w:val="0"/>
          <w:marBottom w:val="0"/>
          <w:divBdr>
            <w:top w:val="none" w:sz="0" w:space="0" w:color="auto"/>
            <w:left w:val="none" w:sz="0" w:space="0" w:color="auto"/>
            <w:bottom w:val="none" w:sz="0" w:space="0" w:color="auto"/>
            <w:right w:val="none" w:sz="0" w:space="0" w:color="auto"/>
          </w:divBdr>
        </w:div>
        <w:div w:id="1720278801">
          <w:marLeft w:val="0"/>
          <w:marRight w:val="0"/>
          <w:marTop w:val="0"/>
          <w:marBottom w:val="0"/>
          <w:divBdr>
            <w:top w:val="none" w:sz="0" w:space="0" w:color="auto"/>
            <w:left w:val="none" w:sz="0" w:space="0" w:color="auto"/>
            <w:bottom w:val="none" w:sz="0" w:space="0" w:color="auto"/>
            <w:right w:val="none" w:sz="0" w:space="0" w:color="auto"/>
          </w:divBdr>
        </w:div>
        <w:div w:id="1108962138">
          <w:marLeft w:val="0"/>
          <w:marRight w:val="0"/>
          <w:marTop w:val="0"/>
          <w:marBottom w:val="0"/>
          <w:divBdr>
            <w:top w:val="none" w:sz="0" w:space="0" w:color="auto"/>
            <w:left w:val="none" w:sz="0" w:space="0" w:color="auto"/>
            <w:bottom w:val="none" w:sz="0" w:space="0" w:color="auto"/>
            <w:right w:val="none" w:sz="0" w:space="0" w:color="auto"/>
          </w:divBdr>
        </w:div>
        <w:div w:id="12614779">
          <w:marLeft w:val="0"/>
          <w:marRight w:val="0"/>
          <w:marTop w:val="0"/>
          <w:marBottom w:val="0"/>
          <w:divBdr>
            <w:top w:val="none" w:sz="0" w:space="0" w:color="auto"/>
            <w:left w:val="none" w:sz="0" w:space="0" w:color="auto"/>
            <w:bottom w:val="none" w:sz="0" w:space="0" w:color="auto"/>
            <w:right w:val="none" w:sz="0" w:space="0" w:color="auto"/>
          </w:divBdr>
        </w:div>
        <w:div w:id="425001462">
          <w:marLeft w:val="0"/>
          <w:marRight w:val="0"/>
          <w:marTop w:val="0"/>
          <w:marBottom w:val="0"/>
          <w:divBdr>
            <w:top w:val="none" w:sz="0" w:space="0" w:color="auto"/>
            <w:left w:val="none" w:sz="0" w:space="0" w:color="auto"/>
            <w:bottom w:val="none" w:sz="0" w:space="0" w:color="auto"/>
            <w:right w:val="none" w:sz="0" w:space="0" w:color="auto"/>
          </w:divBdr>
        </w:div>
        <w:div w:id="915019488">
          <w:marLeft w:val="0"/>
          <w:marRight w:val="0"/>
          <w:marTop w:val="0"/>
          <w:marBottom w:val="0"/>
          <w:divBdr>
            <w:top w:val="none" w:sz="0" w:space="0" w:color="auto"/>
            <w:left w:val="none" w:sz="0" w:space="0" w:color="auto"/>
            <w:bottom w:val="none" w:sz="0" w:space="0" w:color="auto"/>
            <w:right w:val="none" w:sz="0" w:space="0" w:color="auto"/>
          </w:divBdr>
        </w:div>
        <w:div w:id="766579323">
          <w:marLeft w:val="0"/>
          <w:marRight w:val="0"/>
          <w:marTop w:val="0"/>
          <w:marBottom w:val="0"/>
          <w:divBdr>
            <w:top w:val="none" w:sz="0" w:space="0" w:color="auto"/>
            <w:left w:val="none" w:sz="0" w:space="0" w:color="auto"/>
            <w:bottom w:val="none" w:sz="0" w:space="0" w:color="auto"/>
            <w:right w:val="none" w:sz="0" w:space="0" w:color="auto"/>
          </w:divBdr>
        </w:div>
        <w:div w:id="70586901">
          <w:marLeft w:val="0"/>
          <w:marRight w:val="0"/>
          <w:marTop w:val="0"/>
          <w:marBottom w:val="0"/>
          <w:divBdr>
            <w:top w:val="none" w:sz="0" w:space="0" w:color="auto"/>
            <w:left w:val="none" w:sz="0" w:space="0" w:color="auto"/>
            <w:bottom w:val="none" w:sz="0" w:space="0" w:color="auto"/>
            <w:right w:val="none" w:sz="0" w:space="0" w:color="auto"/>
          </w:divBdr>
        </w:div>
        <w:div w:id="863176006">
          <w:marLeft w:val="0"/>
          <w:marRight w:val="0"/>
          <w:marTop w:val="0"/>
          <w:marBottom w:val="0"/>
          <w:divBdr>
            <w:top w:val="none" w:sz="0" w:space="0" w:color="auto"/>
            <w:left w:val="none" w:sz="0" w:space="0" w:color="auto"/>
            <w:bottom w:val="none" w:sz="0" w:space="0" w:color="auto"/>
            <w:right w:val="none" w:sz="0" w:space="0" w:color="auto"/>
          </w:divBdr>
        </w:div>
        <w:div w:id="1661731316">
          <w:marLeft w:val="0"/>
          <w:marRight w:val="0"/>
          <w:marTop w:val="0"/>
          <w:marBottom w:val="0"/>
          <w:divBdr>
            <w:top w:val="none" w:sz="0" w:space="0" w:color="auto"/>
            <w:left w:val="none" w:sz="0" w:space="0" w:color="auto"/>
            <w:bottom w:val="none" w:sz="0" w:space="0" w:color="auto"/>
            <w:right w:val="none" w:sz="0" w:space="0" w:color="auto"/>
          </w:divBdr>
        </w:div>
        <w:div w:id="131679621">
          <w:marLeft w:val="0"/>
          <w:marRight w:val="0"/>
          <w:marTop w:val="0"/>
          <w:marBottom w:val="0"/>
          <w:divBdr>
            <w:top w:val="none" w:sz="0" w:space="0" w:color="auto"/>
            <w:left w:val="none" w:sz="0" w:space="0" w:color="auto"/>
            <w:bottom w:val="none" w:sz="0" w:space="0" w:color="auto"/>
            <w:right w:val="none" w:sz="0" w:space="0" w:color="auto"/>
          </w:divBdr>
        </w:div>
        <w:div w:id="590041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Pages>
  <Words>931</Words>
  <Characters>5121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ASUNCION SANCHEZ ZULOAGA</cp:lastModifiedBy>
  <cp:revision>13</cp:revision>
  <dcterms:created xsi:type="dcterms:W3CDTF">2022-04-20T07:05:00Z</dcterms:created>
  <dcterms:modified xsi:type="dcterms:W3CDTF">2025-11-12T11:59:00Z</dcterms:modified>
</cp:coreProperties>
</file>