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51421B" w14:textId="39D3E58D" w:rsidR="00BE6C24" w:rsidRDefault="00BE6C24" w:rsidP="00BE6C24">
      <w:pPr>
        <w:spacing w:before="120" w:after="120" w:line="276" w:lineRule="auto"/>
        <w:jc w:val="center"/>
        <w:rPr>
          <w:rStyle w:val="nfasis"/>
          <w:rFonts w:ascii="Verdana" w:hAnsi="Verdana" w:cs="Arial"/>
          <w:b/>
          <w:bCs/>
          <w:i w:val="0"/>
          <w:iCs w:val="0"/>
          <w:color w:val="0E1626"/>
          <w:shd w:val="clear" w:color="auto" w:fill="FFFFFF"/>
        </w:rPr>
      </w:pPr>
      <w:r w:rsidRPr="00BE6C24">
        <w:rPr>
          <w:rStyle w:val="nfasis"/>
          <w:rFonts w:ascii="Verdana" w:hAnsi="Verdana" w:cs="Arial"/>
          <w:b/>
          <w:bCs/>
          <w:i w:val="0"/>
          <w:iCs w:val="0"/>
          <w:color w:val="0E1626"/>
          <w:shd w:val="clear" w:color="auto" w:fill="FFFFFF"/>
        </w:rPr>
        <w:t>PLIEGOS DE PRESCRIPCIONES TÉCNICAS PARTICULARES</w:t>
      </w:r>
    </w:p>
    <w:p w14:paraId="111A1AAE" w14:textId="7FF61672" w:rsidR="00415557" w:rsidRPr="00415557" w:rsidRDefault="00415557" w:rsidP="00415557">
      <w:pPr>
        <w:spacing w:before="120" w:after="120" w:line="276" w:lineRule="auto"/>
        <w:jc w:val="both"/>
        <w:rPr>
          <w:rStyle w:val="nfasis"/>
          <w:rFonts w:ascii="Verdana" w:hAnsi="Verdana" w:cs="Arial"/>
          <w:b/>
          <w:bCs/>
          <w:i w:val="0"/>
          <w:iCs w:val="0"/>
          <w:color w:val="0E1626"/>
          <w:shd w:val="clear" w:color="auto" w:fill="FFFFFF"/>
        </w:rPr>
      </w:pPr>
      <w:r w:rsidRPr="00415557">
        <w:rPr>
          <w:rStyle w:val="nfasis"/>
          <w:rFonts w:ascii="Verdana" w:hAnsi="Verdana" w:cs="Arial"/>
          <w:b/>
          <w:bCs/>
          <w:i w:val="0"/>
          <w:iCs w:val="0"/>
          <w:color w:val="0E1626"/>
          <w:shd w:val="clear" w:color="auto" w:fill="FFFFFF"/>
        </w:rPr>
        <w:t>I. Instrucciones generales para la elaboración de los PPT</w:t>
      </w:r>
    </w:p>
    <w:p w14:paraId="7A4B17E8" w14:textId="53DD2693" w:rsidR="0057244D" w:rsidRPr="00BE6C24" w:rsidRDefault="000456A4" w:rsidP="00D31F7F">
      <w:pPr>
        <w:spacing w:before="120" w:after="120" w:line="276" w:lineRule="auto"/>
        <w:jc w:val="both"/>
        <w:rPr>
          <w:rStyle w:val="nfasis"/>
          <w:rFonts w:ascii="Verdana" w:hAnsi="Verdana" w:cs="Arial"/>
          <w:i w:val="0"/>
          <w:iCs w:val="0"/>
          <w:color w:val="0E1626"/>
          <w:shd w:val="clear" w:color="auto" w:fill="FFFFFF"/>
        </w:rPr>
      </w:pPr>
      <w:bookmarkStart w:id="0" w:name="_GoBack"/>
      <w:r w:rsidRPr="00BE6C24">
        <w:rPr>
          <w:rStyle w:val="nfasis"/>
          <w:rFonts w:ascii="Verdana" w:hAnsi="Verdana" w:cs="Arial"/>
          <w:i w:val="0"/>
          <w:iCs w:val="0"/>
          <w:color w:val="0E1626"/>
          <w:shd w:val="clear" w:color="auto" w:fill="FFFFFF"/>
        </w:rPr>
        <w:t xml:space="preserve">Los Pliegos de prescripciones técnicas particulares </w:t>
      </w:r>
      <w:r w:rsidR="00C4681A">
        <w:rPr>
          <w:rStyle w:val="nfasis"/>
          <w:rFonts w:ascii="Verdana" w:hAnsi="Verdana" w:cs="Arial"/>
          <w:i w:val="0"/>
          <w:iCs w:val="0"/>
          <w:color w:val="0E1626"/>
          <w:shd w:val="clear" w:color="auto" w:fill="FFFFFF"/>
        </w:rPr>
        <w:t>comprenden</w:t>
      </w:r>
      <w:r w:rsidRPr="00BE6C24">
        <w:rPr>
          <w:rStyle w:val="nfasis"/>
          <w:rFonts w:ascii="Verdana" w:hAnsi="Verdana" w:cs="Arial"/>
          <w:i w:val="0"/>
          <w:iCs w:val="0"/>
          <w:color w:val="0E1626"/>
          <w:shd w:val="clear" w:color="auto" w:fill="FFFFFF"/>
        </w:rPr>
        <w:t xml:space="preserve"> las </w:t>
      </w:r>
      <w:r w:rsidR="0057244D" w:rsidRPr="00BE6C24">
        <w:rPr>
          <w:rStyle w:val="nfasis"/>
          <w:rFonts w:ascii="Verdana" w:hAnsi="Verdana" w:cs="Arial"/>
          <w:i w:val="0"/>
          <w:iCs w:val="0"/>
          <w:color w:val="0E1626"/>
          <w:shd w:val="clear" w:color="auto" w:fill="FFFFFF"/>
        </w:rPr>
        <w:t>instrucciones de carácter técnico que definen los productos a suministrar y las características que debe</w:t>
      </w:r>
      <w:r w:rsidRPr="00BE6C24">
        <w:rPr>
          <w:rStyle w:val="nfasis"/>
          <w:rFonts w:ascii="Verdana" w:hAnsi="Verdana" w:cs="Arial"/>
          <w:i w:val="0"/>
          <w:iCs w:val="0"/>
          <w:color w:val="0E1626"/>
          <w:shd w:val="clear" w:color="auto" w:fill="FFFFFF"/>
        </w:rPr>
        <w:t>n</w:t>
      </w:r>
      <w:r w:rsidR="0057244D" w:rsidRPr="00BE6C24">
        <w:rPr>
          <w:rStyle w:val="nfasis"/>
          <w:rFonts w:ascii="Verdana" w:hAnsi="Verdana" w:cs="Arial"/>
          <w:i w:val="0"/>
          <w:iCs w:val="0"/>
          <w:color w:val="0E1626"/>
          <w:shd w:val="clear" w:color="auto" w:fill="FFFFFF"/>
        </w:rPr>
        <w:t xml:space="preserve"> cumplir l</w:t>
      </w:r>
      <w:r w:rsidRPr="00BE6C24">
        <w:rPr>
          <w:rStyle w:val="nfasis"/>
          <w:rFonts w:ascii="Verdana" w:hAnsi="Verdana" w:cs="Arial"/>
          <w:i w:val="0"/>
          <w:iCs w:val="0"/>
          <w:color w:val="0E1626"/>
          <w:shd w:val="clear" w:color="auto" w:fill="FFFFFF"/>
        </w:rPr>
        <w:t>o</w:t>
      </w:r>
      <w:r w:rsidR="0057244D" w:rsidRPr="00BE6C24">
        <w:rPr>
          <w:rStyle w:val="nfasis"/>
          <w:rFonts w:ascii="Verdana" w:hAnsi="Verdana" w:cs="Arial"/>
          <w:i w:val="0"/>
          <w:iCs w:val="0"/>
          <w:color w:val="0E1626"/>
          <w:shd w:val="clear" w:color="auto" w:fill="FFFFFF"/>
        </w:rPr>
        <w:t>s servicios a realizar y, por tanto, implican l</w:t>
      </w:r>
      <w:r w:rsidR="00C4681A">
        <w:rPr>
          <w:rStyle w:val="nfasis"/>
          <w:rFonts w:ascii="Verdana" w:hAnsi="Verdana" w:cs="Arial"/>
          <w:i w:val="0"/>
          <w:iCs w:val="0"/>
          <w:color w:val="0E1626"/>
          <w:shd w:val="clear" w:color="auto" w:fill="FFFFFF"/>
        </w:rPr>
        <w:t>a</w:t>
      </w:r>
      <w:r w:rsidR="0057244D" w:rsidRPr="00BE6C24">
        <w:rPr>
          <w:rStyle w:val="nfasis"/>
          <w:rFonts w:ascii="Verdana" w:hAnsi="Verdana" w:cs="Arial"/>
          <w:i w:val="0"/>
          <w:iCs w:val="0"/>
          <w:color w:val="0E1626"/>
          <w:shd w:val="clear" w:color="auto" w:fill="FFFFFF"/>
        </w:rPr>
        <w:t xml:space="preserve">s </w:t>
      </w:r>
      <w:r w:rsidR="00C4681A">
        <w:rPr>
          <w:rStyle w:val="nfasis"/>
          <w:rFonts w:ascii="Verdana" w:hAnsi="Verdana" w:cs="Arial"/>
          <w:i w:val="0"/>
          <w:iCs w:val="0"/>
          <w:color w:val="0E1626"/>
          <w:shd w:val="clear" w:color="auto" w:fill="FFFFFF"/>
        </w:rPr>
        <w:t xml:space="preserve">especificaciones </w:t>
      </w:r>
      <w:r w:rsidR="0057244D" w:rsidRPr="00BE6C24">
        <w:rPr>
          <w:rStyle w:val="nfasis"/>
          <w:rFonts w:ascii="Verdana" w:hAnsi="Verdana" w:cs="Arial"/>
          <w:i w:val="0"/>
          <w:iCs w:val="0"/>
          <w:color w:val="0E1626"/>
          <w:shd w:val="clear" w:color="auto" w:fill="FFFFFF"/>
        </w:rPr>
        <w:t>mínim</w:t>
      </w:r>
      <w:r w:rsidR="00C4681A">
        <w:rPr>
          <w:rStyle w:val="nfasis"/>
          <w:rFonts w:ascii="Verdana" w:hAnsi="Verdana" w:cs="Arial"/>
          <w:i w:val="0"/>
          <w:iCs w:val="0"/>
          <w:color w:val="0E1626"/>
          <w:shd w:val="clear" w:color="auto" w:fill="FFFFFF"/>
        </w:rPr>
        <w:t>as</w:t>
      </w:r>
      <w:r w:rsidR="0057244D" w:rsidRPr="00BE6C24">
        <w:rPr>
          <w:rStyle w:val="nfasis"/>
          <w:rFonts w:ascii="Verdana" w:hAnsi="Verdana" w:cs="Arial"/>
          <w:i w:val="0"/>
          <w:iCs w:val="0"/>
          <w:color w:val="0E1626"/>
          <w:shd w:val="clear" w:color="auto" w:fill="FFFFFF"/>
        </w:rPr>
        <w:t xml:space="preserve"> que debe</w:t>
      </w:r>
      <w:r w:rsidR="00C4681A">
        <w:rPr>
          <w:rStyle w:val="nfasis"/>
          <w:rFonts w:ascii="Verdana" w:hAnsi="Verdana" w:cs="Arial"/>
          <w:i w:val="0"/>
          <w:iCs w:val="0"/>
          <w:color w:val="0E1626"/>
          <w:shd w:val="clear" w:color="auto" w:fill="FFFFFF"/>
        </w:rPr>
        <w:t xml:space="preserve"> cumplir de forma obligatoria la oferta del contratista y la determinación de los requisitos a los que deben atenerse en la ejecución del contrato. </w:t>
      </w:r>
    </w:p>
    <w:p w14:paraId="24BB2E48" w14:textId="743E6AB9" w:rsidR="0057244D" w:rsidRPr="00BE6C24" w:rsidRDefault="0057244D" w:rsidP="00D31F7F">
      <w:pPr>
        <w:spacing w:before="120" w:after="120" w:line="276" w:lineRule="auto"/>
        <w:jc w:val="both"/>
        <w:rPr>
          <w:rStyle w:val="nfasis"/>
          <w:rFonts w:ascii="Verdana" w:hAnsi="Verdana" w:cs="Arial"/>
          <w:i w:val="0"/>
          <w:iCs w:val="0"/>
          <w:color w:val="0E1626"/>
          <w:shd w:val="clear" w:color="auto" w:fill="FFFFFF"/>
        </w:rPr>
      </w:pPr>
      <w:r w:rsidRPr="00BE6C24">
        <w:rPr>
          <w:rStyle w:val="nfasis"/>
          <w:rFonts w:ascii="Verdana" w:hAnsi="Verdana" w:cs="Arial"/>
          <w:i w:val="0"/>
          <w:iCs w:val="0"/>
          <w:color w:val="0E1626"/>
          <w:shd w:val="clear" w:color="auto" w:fill="FFFFFF"/>
        </w:rPr>
        <w:t>Por un lado, realizan una descripción del objeto del contrato para que las empresas puedan decidir si están interesadas</w:t>
      </w:r>
      <w:r w:rsidR="00C4681A">
        <w:rPr>
          <w:rStyle w:val="nfasis"/>
          <w:rFonts w:ascii="Verdana" w:hAnsi="Verdana" w:cs="Arial"/>
          <w:i w:val="0"/>
          <w:iCs w:val="0"/>
          <w:color w:val="0E1626"/>
          <w:shd w:val="clear" w:color="auto" w:fill="FFFFFF"/>
        </w:rPr>
        <w:t xml:space="preserve"> y pueden cumplir con su ejecución</w:t>
      </w:r>
      <w:r w:rsidRPr="00BE6C24">
        <w:rPr>
          <w:rStyle w:val="nfasis"/>
          <w:rFonts w:ascii="Verdana" w:hAnsi="Verdana" w:cs="Arial"/>
          <w:i w:val="0"/>
          <w:iCs w:val="0"/>
          <w:color w:val="0E1626"/>
          <w:shd w:val="clear" w:color="auto" w:fill="FFFFFF"/>
        </w:rPr>
        <w:t xml:space="preserve"> y, de otro, exponen los requisitos mensurables que servirán para </w:t>
      </w:r>
      <w:r w:rsidR="000456A4" w:rsidRPr="00BE6C24">
        <w:rPr>
          <w:rStyle w:val="nfasis"/>
          <w:rFonts w:ascii="Verdana" w:hAnsi="Verdana" w:cs="Arial"/>
          <w:i w:val="0"/>
          <w:iCs w:val="0"/>
          <w:color w:val="0E1626"/>
          <w:shd w:val="clear" w:color="auto" w:fill="FFFFFF"/>
        </w:rPr>
        <w:t xml:space="preserve">establecer los criterios de evaluación de </w:t>
      </w:r>
      <w:r w:rsidRPr="00BE6C24">
        <w:rPr>
          <w:rStyle w:val="nfasis"/>
          <w:rFonts w:ascii="Verdana" w:hAnsi="Verdana" w:cs="Arial"/>
          <w:i w:val="0"/>
          <w:iCs w:val="0"/>
          <w:color w:val="0E1626"/>
          <w:shd w:val="clear" w:color="auto" w:fill="FFFFFF"/>
        </w:rPr>
        <w:t>las ofertas</w:t>
      </w:r>
      <w:r w:rsidR="00C4681A">
        <w:rPr>
          <w:rStyle w:val="nfasis"/>
          <w:rFonts w:ascii="Verdana" w:hAnsi="Verdana" w:cs="Arial"/>
          <w:i w:val="0"/>
          <w:iCs w:val="0"/>
          <w:color w:val="0E1626"/>
          <w:shd w:val="clear" w:color="auto" w:fill="FFFFFF"/>
        </w:rPr>
        <w:t>.</w:t>
      </w:r>
    </w:p>
    <w:p w14:paraId="18E46B6A" w14:textId="28D17A7C" w:rsidR="00E4656A" w:rsidRPr="00BE6C24" w:rsidRDefault="000456A4" w:rsidP="000456A4">
      <w:pPr>
        <w:spacing w:before="120" w:after="120" w:line="276" w:lineRule="auto"/>
        <w:jc w:val="both"/>
        <w:rPr>
          <w:rFonts w:ascii="Verdana" w:hAnsi="Verdana"/>
          <w:color w:val="000000"/>
        </w:rPr>
      </w:pPr>
      <w:r w:rsidRPr="00BE6C24">
        <w:rPr>
          <w:rStyle w:val="nfasis"/>
          <w:rFonts w:ascii="Verdana" w:hAnsi="Verdana" w:cs="Arial"/>
          <w:i w:val="0"/>
          <w:iCs w:val="0"/>
          <w:color w:val="0E1626"/>
          <w:shd w:val="clear" w:color="auto" w:fill="FFFFFF"/>
        </w:rPr>
        <w:t>Su contenido se desarrolla en los artículos 125 y 126 de la LCSP.</w:t>
      </w:r>
    </w:p>
    <w:p w14:paraId="5F676220" w14:textId="3910B6A4" w:rsidR="00330643" w:rsidRPr="00BE6C24" w:rsidRDefault="000456A4" w:rsidP="00D31F7F">
      <w:pPr>
        <w:spacing w:before="120" w:after="120" w:line="276" w:lineRule="auto"/>
        <w:jc w:val="both"/>
        <w:rPr>
          <w:rFonts w:ascii="Verdana" w:hAnsi="Verdana"/>
          <w:color w:val="000000"/>
          <w:shd w:val="clear" w:color="auto" w:fill="FFFFFF"/>
        </w:rPr>
      </w:pPr>
      <w:r w:rsidRPr="00BE6C24">
        <w:rPr>
          <w:rFonts w:ascii="Verdana" w:hAnsi="Verdana"/>
        </w:rPr>
        <w:t>D</w:t>
      </w:r>
      <w:r w:rsidR="0057244D" w:rsidRPr="00BE6C24">
        <w:rPr>
          <w:rFonts w:ascii="Verdana" w:hAnsi="Verdana"/>
        </w:rPr>
        <w:t xml:space="preserve">ebe tenerse en cuenta, especialmente, </w:t>
      </w:r>
      <w:r w:rsidRPr="00BE6C24">
        <w:rPr>
          <w:rFonts w:ascii="Verdana" w:hAnsi="Verdana"/>
        </w:rPr>
        <w:t>que l</w:t>
      </w:r>
      <w:r w:rsidR="0057244D" w:rsidRPr="00BE6C24">
        <w:rPr>
          <w:rFonts w:ascii="Verdana" w:hAnsi="Verdana"/>
        </w:rPr>
        <w:t xml:space="preserve">as prescripciones técnicas deberán permitir el acceso en condiciones de igualdad de los licitadores, sin que puedan tener por efecto la creación de obstáculos injustificados. </w:t>
      </w:r>
      <w:r w:rsidR="00330643" w:rsidRPr="00BE6C24">
        <w:rPr>
          <w:rFonts w:ascii="Verdana" w:hAnsi="Verdana"/>
          <w:color w:val="000000"/>
          <w:shd w:val="clear" w:color="auto" w:fill="FFFFFF"/>
        </w:rPr>
        <w:t>Salvo que lo justifique el objeto del contrato, las prescripciones técnicas no harán referencia a una fabricación o una procedencia determinada, o a un procedimiento concreto que caracterice a los productos o servicios ofrecidos por un empresario determinado, o a marcas, patentes o tipos, o a un origen o a una producción determinados, con la finalidad de favorecer o descartar ciertas empresas o ciertos productos. Tal referencia se autorizará, con carácter excepcional, en el caso en que no sea posible hacer una descripción lo bastante precisa e inteligible del objeto del contrato, en cuyo caso irá acompañada de la mención «o equivalente»</w:t>
      </w:r>
      <w:r w:rsidR="00BE6C24">
        <w:rPr>
          <w:rFonts w:ascii="Verdana" w:hAnsi="Verdana"/>
          <w:color w:val="000000"/>
          <w:shd w:val="clear" w:color="auto" w:fill="FFFFFF"/>
        </w:rPr>
        <w:t>.</w:t>
      </w:r>
    </w:p>
    <w:p w14:paraId="52A3EBBE" w14:textId="08359F24" w:rsidR="00BE6C24" w:rsidRPr="00BE6C24" w:rsidRDefault="00330643" w:rsidP="00330643">
      <w:pPr>
        <w:spacing w:before="180" w:after="180" w:line="240" w:lineRule="auto"/>
        <w:ind w:firstLine="360"/>
        <w:jc w:val="both"/>
        <w:rPr>
          <w:rFonts w:ascii="Verdana" w:eastAsia="Times New Roman" w:hAnsi="Verdana" w:cs="Times New Roman"/>
          <w:color w:val="000000"/>
          <w:lang w:eastAsia="es-ES_tradnl"/>
        </w:rPr>
      </w:pPr>
      <w:r w:rsidRPr="00BE6C24">
        <w:rPr>
          <w:rFonts w:ascii="Verdana" w:eastAsia="Times New Roman" w:hAnsi="Verdana" w:cs="Times New Roman"/>
          <w:color w:val="000000"/>
          <w:lang w:eastAsia="es-ES_tradnl"/>
        </w:rPr>
        <w:t xml:space="preserve">Respecto a las empresas que </w:t>
      </w:r>
      <w:r w:rsidRPr="00330643">
        <w:rPr>
          <w:rFonts w:ascii="Verdana" w:eastAsia="Times New Roman" w:hAnsi="Verdana" w:cs="Times New Roman"/>
          <w:color w:val="000000"/>
          <w:lang w:eastAsia="es-ES_tradnl"/>
        </w:rPr>
        <w:t>hubieran participado previamente en la elaboración de las especificaciones técnicas o de los documentos preparatorios del contrato o hubieran asesorado al órgano de contratación durante la preparación del procedimiento de contratación,</w:t>
      </w:r>
      <w:r w:rsidRPr="00BE6C24">
        <w:rPr>
          <w:rFonts w:ascii="Verdana" w:eastAsia="Times New Roman" w:hAnsi="Verdana" w:cs="Times New Roman"/>
          <w:color w:val="000000"/>
          <w:lang w:eastAsia="es-ES_tradnl"/>
        </w:rPr>
        <w:t xml:space="preserve"> </w:t>
      </w:r>
      <w:r w:rsidR="00BE6C24" w:rsidRPr="00BE6C24">
        <w:rPr>
          <w:rFonts w:ascii="Verdana" w:eastAsia="Times New Roman" w:hAnsi="Verdana" w:cs="Times New Roman"/>
          <w:color w:val="000000"/>
          <w:lang w:eastAsia="es-ES_tradnl"/>
        </w:rPr>
        <w:t>e</w:t>
      </w:r>
      <w:r w:rsidR="00BE6C24" w:rsidRPr="00330643">
        <w:rPr>
          <w:rFonts w:ascii="Verdana" w:eastAsia="Times New Roman" w:hAnsi="Verdana" w:cs="Times New Roman"/>
          <w:color w:val="000000"/>
          <w:lang w:eastAsia="es-ES_tradnl"/>
        </w:rPr>
        <w:t xml:space="preserve">l órgano de contratación tomará las medidas adecuadas para garantizar que </w:t>
      </w:r>
      <w:r w:rsidR="00BE6C24" w:rsidRPr="00BE6C24">
        <w:rPr>
          <w:rFonts w:ascii="Verdana" w:eastAsia="Times New Roman" w:hAnsi="Verdana" w:cs="Times New Roman"/>
          <w:color w:val="000000"/>
          <w:lang w:eastAsia="es-ES_tradnl"/>
        </w:rPr>
        <w:t>su</w:t>
      </w:r>
      <w:r w:rsidR="00BE6C24" w:rsidRPr="00330643">
        <w:rPr>
          <w:rFonts w:ascii="Verdana" w:eastAsia="Times New Roman" w:hAnsi="Verdana" w:cs="Times New Roman"/>
          <w:color w:val="000000"/>
          <w:lang w:eastAsia="es-ES_tradnl"/>
        </w:rPr>
        <w:t xml:space="preserve"> participación en la licitación</w:t>
      </w:r>
      <w:r w:rsidRPr="00330643">
        <w:rPr>
          <w:rFonts w:ascii="Verdana" w:eastAsia="Times New Roman" w:hAnsi="Verdana" w:cs="Times New Roman"/>
          <w:color w:val="000000"/>
          <w:lang w:eastAsia="es-ES_tradnl"/>
        </w:rPr>
        <w:t xml:space="preserve"> no falsee la competencia. Entre esas medidas</w:t>
      </w:r>
      <w:r w:rsidR="00BE6C24" w:rsidRPr="00BE6C24">
        <w:rPr>
          <w:rFonts w:ascii="Verdana" w:eastAsia="Times New Roman" w:hAnsi="Verdana" w:cs="Times New Roman"/>
          <w:color w:val="000000"/>
          <w:lang w:eastAsia="es-ES_tradnl"/>
        </w:rPr>
        <w:t>:</w:t>
      </w:r>
    </w:p>
    <w:p w14:paraId="686D8B49" w14:textId="0CAD302E" w:rsidR="00330643" w:rsidRPr="00330643" w:rsidRDefault="00BE6C24" w:rsidP="00BE6C24">
      <w:pPr>
        <w:spacing w:before="180" w:after="180" w:line="240" w:lineRule="auto"/>
        <w:ind w:left="360" w:firstLine="360"/>
        <w:jc w:val="both"/>
        <w:rPr>
          <w:rFonts w:ascii="Verdana" w:eastAsia="Times New Roman" w:hAnsi="Verdana" w:cs="Times New Roman"/>
          <w:color w:val="000000"/>
          <w:lang w:eastAsia="es-ES_tradnl"/>
        </w:rPr>
      </w:pPr>
      <w:r w:rsidRPr="00BE6C24">
        <w:rPr>
          <w:rFonts w:ascii="Verdana" w:eastAsia="Times New Roman" w:hAnsi="Verdana" w:cs="Times New Roman"/>
          <w:color w:val="000000"/>
          <w:lang w:eastAsia="es-ES_tradnl"/>
        </w:rPr>
        <w:t>P</w:t>
      </w:r>
      <w:r w:rsidR="00330643" w:rsidRPr="00330643">
        <w:rPr>
          <w:rFonts w:ascii="Verdana" w:eastAsia="Times New Roman" w:hAnsi="Verdana" w:cs="Times New Roman"/>
          <w:color w:val="000000"/>
          <w:lang w:eastAsia="es-ES_tradnl"/>
        </w:rPr>
        <w:t>odrá llegar a establecerse que las citadas empresas, y las empresas a ellas vinculadas, entendiéndose por tales las que se encuentren en alguno de los supuestos previstos en el artículo 42 del Código de Comercio, puedan ser excluidas de dichas licitaciones, cuando no haya otro medio de garantizar el cumplimiento del principio de igualdad de trato</w:t>
      </w:r>
      <w:r>
        <w:rPr>
          <w:rFonts w:ascii="Verdana" w:eastAsia="Times New Roman" w:hAnsi="Verdana" w:cs="Times New Roman"/>
          <w:color w:val="000000"/>
          <w:lang w:eastAsia="es-ES_tradnl"/>
        </w:rPr>
        <w:t>, mediante un procedimiento que incluye la audiencia a los interesados.</w:t>
      </w:r>
    </w:p>
    <w:p w14:paraId="11195508" w14:textId="38B3D8B3" w:rsidR="00330643" w:rsidRPr="00330643" w:rsidRDefault="00BE6C24" w:rsidP="00BE6C24">
      <w:pPr>
        <w:spacing w:before="180" w:after="180" w:line="240" w:lineRule="auto"/>
        <w:ind w:left="360" w:firstLine="360"/>
        <w:jc w:val="both"/>
        <w:rPr>
          <w:rFonts w:ascii="Verdana" w:eastAsia="Times New Roman" w:hAnsi="Verdana" w:cs="Times New Roman"/>
          <w:color w:val="000000"/>
          <w:lang w:eastAsia="es-ES_tradnl"/>
        </w:rPr>
      </w:pPr>
      <w:r w:rsidRPr="00BE6C24">
        <w:rPr>
          <w:rFonts w:ascii="Verdana" w:eastAsia="Times New Roman" w:hAnsi="Verdana" w:cs="Times New Roman"/>
          <w:color w:val="000000"/>
          <w:lang w:eastAsia="es-ES_tradnl"/>
        </w:rPr>
        <w:t>Podrá acordarse</w:t>
      </w:r>
      <w:r w:rsidR="00330643" w:rsidRPr="00330643">
        <w:rPr>
          <w:rFonts w:ascii="Verdana" w:eastAsia="Times New Roman" w:hAnsi="Verdana" w:cs="Times New Roman"/>
          <w:color w:val="000000"/>
          <w:lang w:eastAsia="es-ES_tradnl"/>
        </w:rPr>
        <w:t xml:space="preserve"> la comunicación a los demás candidatos o licitadores de la información intercambiada en el marco de la participación en la </w:t>
      </w:r>
      <w:r w:rsidR="00330643" w:rsidRPr="00330643">
        <w:rPr>
          <w:rFonts w:ascii="Verdana" w:eastAsia="Times New Roman" w:hAnsi="Verdana" w:cs="Times New Roman"/>
          <w:color w:val="000000"/>
          <w:lang w:eastAsia="es-ES_tradnl"/>
        </w:rPr>
        <w:lastRenderedPageBreak/>
        <w:t>preparación del procedimiento de contratación o como resultado de ella, y el establecimiento de plazos adecuados para la presentación de ofertas.</w:t>
      </w:r>
    </w:p>
    <w:bookmarkEnd w:id="0"/>
    <w:p w14:paraId="4F345BC1" w14:textId="6F635BD4" w:rsidR="00415557" w:rsidRPr="00415557" w:rsidRDefault="00415557" w:rsidP="00415557">
      <w:pPr>
        <w:spacing w:before="120" w:after="120" w:line="276" w:lineRule="auto"/>
        <w:jc w:val="both"/>
        <w:rPr>
          <w:rStyle w:val="nfasis"/>
          <w:rFonts w:ascii="Verdana" w:hAnsi="Verdana" w:cs="Arial"/>
          <w:b/>
          <w:bCs/>
          <w:i w:val="0"/>
          <w:iCs w:val="0"/>
          <w:color w:val="0E1626"/>
          <w:shd w:val="clear" w:color="auto" w:fill="FFFFFF"/>
        </w:rPr>
      </w:pPr>
      <w:r w:rsidRPr="00415557">
        <w:rPr>
          <w:rStyle w:val="nfasis"/>
          <w:rFonts w:ascii="Verdana" w:hAnsi="Verdana" w:cs="Arial"/>
          <w:b/>
          <w:bCs/>
          <w:i w:val="0"/>
          <w:iCs w:val="0"/>
          <w:color w:val="0E1626"/>
          <w:shd w:val="clear" w:color="auto" w:fill="FFFFFF"/>
        </w:rPr>
        <w:t>I</w:t>
      </w:r>
      <w:r>
        <w:rPr>
          <w:rStyle w:val="nfasis"/>
          <w:rFonts w:ascii="Verdana" w:hAnsi="Verdana" w:cs="Arial"/>
          <w:b/>
          <w:bCs/>
          <w:i w:val="0"/>
          <w:iCs w:val="0"/>
          <w:color w:val="0E1626"/>
          <w:shd w:val="clear" w:color="auto" w:fill="FFFFFF"/>
        </w:rPr>
        <w:t>I</w:t>
      </w:r>
      <w:r w:rsidRPr="00415557">
        <w:rPr>
          <w:rStyle w:val="nfasis"/>
          <w:rFonts w:ascii="Verdana" w:hAnsi="Verdana" w:cs="Arial"/>
          <w:b/>
          <w:bCs/>
          <w:i w:val="0"/>
          <w:iCs w:val="0"/>
          <w:color w:val="0E1626"/>
          <w:shd w:val="clear" w:color="auto" w:fill="FFFFFF"/>
        </w:rPr>
        <w:t xml:space="preserve">. Instrucciones </w:t>
      </w:r>
      <w:r>
        <w:rPr>
          <w:rStyle w:val="nfasis"/>
          <w:rFonts w:ascii="Verdana" w:hAnsi="Verdana" w:cs="Arial"/>
          <w:b/>
          <w:bCs/>
          <w:i w:val="0"/>
          <w:iCs w:val="0"/>
          <w:color w:val="0E1626"/>
          <w:shd w:val="clear" w:color="auto" w:fill="FFFFFF"/>
        </w:rPr>
        <w:t>específicas</w:t>
      </w:r>
      <w:r w:rsidRPr="00415557">
        <w:rPr>
          <w:rStyle w:val="nfasis"/>
          <w:rFonts w:ascii="Verdana" w:hAnsi="Verdana" w:cs="Arial"/>
          <w:b/>
          <w:bCs/>
          <w:i w:val="0"/>
          <w:iCs w:val="0"/>
          <w:color w:val="0E1626"/>
          <w:shd w:val="clear" w:color="auto" w:fill="FFFFFF"/>
        </w:rPr>
        <w:t xml:space="preserve"> para la elaboración de los PPT</w:t>
      </w:r>
      <w:r>
        <w:rPr>
          <w:rStyle w:val="nfasis"/>
          <w:rFonts w:ascii="Verdana" w:hAnsi="Verdana" w:cs="Arial"/>
          <w:b/>
          <w:bCs/>
          <w:i w:val="0"/>
          <w:iCs w:val="0"/>
          <w:color w:val="0E1626"/>
          <w:shd w:val="clear" w:color="auto" w:fill="FFFFFF"/>
        </w:rPr>
        <w:t xml:space="preserve"> de los contratos financiados por los PRTR</w:t>
      </w:r>
    </w:p>
    <w:p w14:paraId="062A9A80" w14:textId="51C6B772" w:rsidR="00330643" w:rsidRPr="00BE6C24" w:rsidRDefault="00415557" w:rsidP="00D31F7F">
      <w:pPr>
        <w:spacing w:before="120" w:after="120" w:line="276" w:lineRule="auto"/>
        <w:jc w:val="both"/>
        <w:rPr>
          <w:rFonts w:ascii="Verdana" w:hAnsi="Verdana"/>
          <w:color w:val="000000"/>
          <w:shd w:val="clear" w:color="auto" w:fill="FFFFFF"/>
        </w:rPr>
      </w:pPr>
      <w:r>
        <w:rPr>
          <w:rFonts w:ascii="Verdana" w:hAnsi="Verdana"/>
          <w:color w:val="000000"/>
          <w:shd w:val="clear" w:color="auto" w:fill="FFFFFF"/>
        </w:rPr>
        <w:t xml:space="preserve">Respecto a los contratos financiados por el Plan de Recuperación, Transformación y </w:t>
      </w:r>
      <w:proofErr w:type="spellStart"/>
      <w:r>
        <w:rPr>
          <w:rFonts w:ascii="Verdana" w:hAnsi="Verdana"/>
          <w:color w:val="000000"/>
          <w:shd w:val="clear" w:color="auto" w:fill="FFFFFF"/>
        </w:rPr>
        <w:t>Resilencia</w:t>
      </w:r>
      <w:proofErr w:type="spellEnd"/>
      <w:r>
        <w:rPr>
          <w:rFonts w:ascii="Verdana" w:hAnsi="Verdana"/>
          <w:color w:val="000000"/>
          <w:shd w:val="clear" w:color="auto" w:fill="FFFFFF"/>
        </w:rPr>
        <w:t>, se deberá incluir, además de los extremos a los que se ha hecho referencia en el apartado anterior, lo siguiente:</w:t>
      </w:r>
    </w:p>
    <w:p w14:paraId="51FCDF01" w14:textId="4382A617" w:rsidR="00B425CE" w:rsidRPr="00BE6C24" w:rsidRDefault="00B425CE" w:rsidP="00D31F7F">
      <w:pPr>
        <w:spacing w:before="120" w:after="120" w:line="276" w:lineRule="auto"/>
        <w:jc w:val="both"/>
        <w:rPr>
          <w:rFonts w:ascii="Verdana" w:hAnsi="Verdana"/>
          <w:b/>
          <w:bCs/>
        </w:rPr>
      </w:pPr>
      <w:r w:rsidRPr="00BE6C24">
        <w:rPr>
          <w:rFonts w:ascii="Verdana" w:hAnsi="Verdana"/>
          <w:b/>
          <w:bCs/>
        </w:rPr>
        <w:t>En la definición de su objeto</w:t>
      </w:r>
      <w:r w:rsidR="00890FDF" w:rsidRPr="00BE6C24">
        <w:rPr>
          <w:rFonts w:ascii="Verdana" w:hAnsi="Verdana"/>
          <w:b/>
          <w:bCs/>
        </w:rPr>
        <w:t xml:space="preserve"> se incluirá</w:t>
      </w:r>
      <w:r w:rsidRPr="00BE6C24">
        <w:rPr>
          <w:rFonts w:ascii="Verdana" w:hAnsi="Verdana"/>
          <w:b/>
          <w:bCs/>
        </w:rPr>
        <w:t>:</w:t>
      </w:r>
    </w:p>
    <w:p w14:paraId="46543BB1" w14:textId="4BC467C8" w:rsidR="00A83994" w:rsidRPr="00BE6C24" w:rsidRDefault="00CD401E" w:rsidP="00D31F7F">
      <w:pPr>
        <w:spacing w:before="120" w:after="120" w:line="276" w:lineRule="auto"/>
        <w:jc w:val="both"/>
        <w:rPr>
          <w:rFonts w:ascii="Verdana" w:hAnsi="Verdana"/>
        </w:rPr>
      </w:pPr>
      <w:r w:rsidRPr="00BE6C24">
        <w:rPr>
          <w:rFonts w:ascii="Verdana" w:hAnsi="Verdana"/>
        </w:rPr>
        <w:t>H</w:t>
      </w:r>
      <w:r w:rsidR="00A83994" w:rsidRPr="00BE6C24">
        <w:rPr>
          <w:rFonts w:ascii="Verdana" w:hAnsi="Verdana"/>
        </w:rPr>
        <w:t>itos y objetivos que se han de cumplir, a los plazos temporales para su cumplimiento y a los mecanismos establecidos para su control.</w:t>
      </w:r>
    </w:p>
    <w:p w14:paraId="23FE03EA" w14:textId="6C250F4A" w:rsidR="00017EA0" w:rsidRPr="00BE6C24" w:rsidRDefault="00CD401E" w:rsidP="00D31F7F">
      <w:pPr>
        <w:spacing w:before="120" w:after="120" w:line="276" w:lineRule="auto"/>
        <w:jc w:val="both"/>
        <w:rPr>
          <w:rFonts w:ascii="Verdana" w:hAnsi="Verdana"/>
        </w:rPr>
      </w:pPr>
      <w:r w:rsidRPr="00BE6C24">
        <w:rPr>
          <w:rFonts w:ascii="Verdana" w:hAnsi="Verdana"/>
        </w:rPr>
        <w:t>R</w:t>
      </w:r>
      <w:r w:rsidR="00017EA0" w:rsidRPr="00BE6C24">
        <w:rPr>
          <w:rFonts w:ascii="Verdana" w:hAnsi="Verdana"/>
        </w:rPr>
        <w:t>eferencia al preceptivo cumplimiento de las obligaciones asumidas en materia de etiquetado verde y etiquetado digital y los mecanismos establecidos para su control, así como al preceptivo cumplimiento de las obligaciones asumidas por la aplicación del principio de no causar un daño significativo y las consecuencias en caso de incumplimiento.</w:t>
      </w:r>
    </w:p>
    <w:p w14:paraId="04DA96F9" w14:textId="302F1BAB" w:rsidR="00544F1D" w:rsidRPr="00EE02A0" w:rsidRDefault="00544F1D" w:rsidP="00D31F7F">
      <w:pPr>
        <w:spacing w:before="120" w:after="120" w:line="276" w:lineRule="auto"/>
        <w:jc w:val="both"/>
        <w:rPr>
          <w:rFonts w:ascii="Verdana" w:hAnsi="Verdana"/>
        </w:rPr>
      </w:pPr>
      <w:r w:rsidRPr="00EE02A0">
        <w:rPr>
          <w:rFonts w:ascii="Verdana" w:hAnsi="Verdana"/>
        </w:rPr>
        <w:t xml:space="preserve">En el diseño y desarrollo de las licitaciones se debe tener en cuenta también el etiquetado de contribución climática correspondiente a la inversión del Plan de Recuperación en que se enmarcan las actuaciones, de acuerdo con lo previsto en el anexo VI del Reglamento (UE) </w:t>
      </w:r>
      <w:proofErr w:type="spellStart"/>
      <w:r w:rsidRPr="00EE02A0">
        <w:rPr>
          <w:rFonts w:ascii="Verdana" w:hAnsi="Verdana"/>
        </w:rPr>
        <w:t>nº</w:t>
      </w:r>
      <w:proofErr w:type="spellEnd"/>
      <w:r w:rsidRPr="00EE02A0">
        <w:rPr>
          <w:rFonts w:ascii="Verdana" w:hAnsi="Verdana"/>
        </w:rPr>
        <w:t xml:space="preserve"> 2021/241 del Parlamento Europeo y del Consejo, de 12 de febrero de 2021. Cada etiqueta está asociada a unas condiciones que han de ser respetadas. Una vez conocida la etiqueta, en su caso, las condiciones establecidas deben consultarse en el anexo VI del Reglamento mencionado, que incluye todos los campos de intervención predefinidos. Así pues, se recomienda especialmente mencionar en la licitación tanto el Componente del Plan de Recuperación como la medida concreta en que se incardinan las actuaciones, con la numeración aprobada por la Comisión Europea. Y, una vez determinado si es exigible cierto etiquetado climático o ambiental para esa medida, incluir en los pliegos los requisitos asociados que debe cumplir la actuación debido a su etiquetado, así como los mecanismos que aseguren el respeto a los mismos en la práctica durante la ejecución del contrato.</w:t>
      </w:r>
    </w:p>
    <w:p w14:paraId="0DA9B314" w14:textId="2E24EFD7" w:rsidR="007736EE" w:rsidRDefault="00544F1D" w:rsidP="00D31F7F">
      <w:pPr>
        <w:spacing w:before="120" w:after="120" w:line="276" w:lineRule="auto"/>
        <w:jc w:val="both"/>
        <w:rPr>
          <w:rFonts w:ascii="Verdana" w:hAnsi="Verdana"/>
        </w:rPr>
      </w:pPr>
      <w:r>
        <w:rPr>
          <w:rFonts w:ascii="Verdana" w:hAnsi="Verdana"/>
        </w:rPr>
        <w:t>En consonancia con l</w:t>
      </w:r>
      <w:r w:rsidR="007736EE">
        <w:rPr>
          <w:rFonts w:ascii="Verdana" w:hAnsi="Verdana"/>
        </w:rPr>
        <w:t>o</w:t>
      </w:r>
      <w:r>
        <w:rPr>
          <w:rFonts w:ascii="Verdana" w:hAnsi="Verdana"/>
        </w:rPr>
        <w:t xml:space="preserve"> anterior, en la propuesta de contratación, entre los criterios de valoración se pueden incorporar </w:t>
      </w:r>
      <w:r w:rsidR="006358C8" w:rsidRPr="00BE6C24">
        <w:rPr>
          <w:rFonts w:ascii="Verdana" w:hAnsi="Verdana"/>
        </w:rPr>
        <w:t>criterios verdes</w:t>
      </w:r>
      <w:r w:rsidR="007736EE">
        <w:rPr>
          <w:rFonts w:ascii="Verdana" w:hAnsi="Verdana"/>
        </w:rPr>
        <w:t xml:space="preserve"> y medioambientales.</w:t>
      </w:r>
    </w:p>
    <w:p w14:paraId="55F6D66B" w14:textId="5B7A8434" w:rsidR="00943B85" w:rsidRPr="00BE6C24" w:rsidRDefault="007736EE" w:rsidP="00D31F7F">
      <w:pPr>
        <w:spacing w:before="120" w:after="120" w:line="276" w:lineRule="auto"/>
        <w:jc w:val="both"/>
        <w:rPr>
          <w:rFonts w:ascii="Verdana" w:hAnsi="Verdana"/>
        </w:rPr>
      </w:pPr>
      <w:r>
        <w:rPr>
          <w:rFonts w:ascii="Verdana" w:hAnsi="Verdana"/>
        </w:rPr>
        <w:t>También y si entre las obligaciones del PPT relacionadas con el objeto del contrato se incorporan medidas</w:t>
      </w:r>
      <w:r w:rsidR="006358C8" w:rsidRPr="00BE6C24">
        <w:rPr>
          <w:rFonts w:ascii="Verdana" w:hAnsi="Verdana"/>
        </w:rPr>
        <w:t xml:space="preserve"> digitales, de innovación, de potenciación de </w:t>
      </w:r>
      <w:r w:rsidR="00CB4165">
        <w:rPr>
          <w:rFonts w:ascii="Verdana" w:hAnsi="Verdana"/>
        </w:rPr>
        <w:t>P</w:t>
      </w:r>
      <w:r w:rsidR="006358C8" w:rsidRPr="00BE6C24">
        <w:rPr>
          <w:rFonts w:ascii="Verdana" w:hAnsi="Verdana"/>
        </w:rPr>
        <w:t>ymes y de responsabilidad social que se consideren necesari</w:t>
      </w:r>
      <w:r w:rsidR="00615AF8">
        <w:rPr>
          <w:rFonts w:ascii="Verdana" w:hAnsi="Verdana"/>
        </w:rPr>
        <w:t>a</w:t>
      </w:r>
      <w:r w:rsidR="006358C8" w:rsidRPr="00BE6C24">
        <w:rPr>
          <w:rFonts w:ascii="Verdana" w:hAnsi="Verdana"/>
        </w:rPr>
        <w:t>s y estén amparad</w:t>
      </w:r>
      <w:r w:rsidR="00615AF8">
        <w:rPr>
          <w:rFonts w:ascii="Verdana" w:hAnsi="Verdana"/>
        </w:rPr>
        <w:t>a</w:t>
      </w:r>
      <w:r w:rsidR="006358C8" w:rsidRPr="00BE6C24">
        <w:rPr>
          <w:rFonts w:ascii="Verdana" w:hAnsi="Verdana"/>
        </w:rPr>
        <w:t>s por la norma legal correspondiente,</w:t>
      </w:r>
      <w:r>
        <w:rPr>
          <w:rFonts w:ascii="Verdana" w:hAnsi="Verdana"/>
        </w:rPr>
        <w:t xml:space="preserve"> se podrán incorporar en la propuesta de contratación, criterios de valoración relacionados, </w:t>
      </w:r>
      <w:r w:rsidR="006358C8" w:rsidRPr="00BE6C24">
        <w:rPr>
          <w:rFonts w:ascii="Verdana" w:hAnsi="Verdana"/>
        </w:rPr>
        <w:t xml:space="preserve"> todo ello en </w:t>
      </w:r>
      <w:r w:rsidR="006358C8" w:rsidRPr="00BE6C24">
        <w:rPr>
          <w:rFonts w:ascii="Verdana" w:hAnsi="Verdana"/>
        </w:rPr>
        <w:lastRenderedPageBreak/>
        <w:t>consonancia con los propósitos generales del Plan dirigidos a la sostenibilidad, cohesión social y regeneración del tejido empresarial.</w:t>
      </w:r>
    </w:p>
    <w:p w14:paraId="2398E82A" w14:textId="33092B5E" w:rsidR="0088783D" w:rsidRPr="00BE6C24" w:rsidRDefault="0088783D" w:rsidP="00D31F7F">
      <w:pPr>
        <w:pStyle w:val="Default"/>
        <w:spacing w:before="120" w:after="120" w:line="276" w:lineRule="auto"/>
        <w:jc w:val="both"/>
        <w:rPr>
          <w:rFonts w:ascii="Verdana" w:hAnsi="Verdana"/>
          <w:b/>
          <w:bCs/>
          <w:sz w:val="22"/>
          <w:szCs w:val="22"/>
        </w:rPr>
      </w:pPr>
    </w:p>
    <w:p w14:paraId="01D1736B" w14:textId="0B92C75F" w:rsidR="00E955C0" w:rsidRPr="00BE6C24" w:rsidRDefault="00E955C0" w:rsidP="00D31F7F">
      <w:pPr>
        <w:pStyle w:val="Default"/>
        <w:spacing w:before="120" w:after="120" w:line="276" w:lineRule="auto"/>
        <w:jc w:val="both"/>
        <w:rPr>
          <w:rFonts w:ascii="Verdana" w:hAnsi="Verdana"/>
          <w:b/>
          <w:bCs/>
          <w:sz w:val="22"/>
          <w:szCs w:val="22"/>
        </w:rPr>
      </w:pPr>
      <w:r w:rsidRPr="00BE6C24">
        <w:rPr>
          <w:rFonts w:ascii="Verdana" w:hAnsi="Verdana"/>
          <w:b/>
          <w:bCs/>
          <w:sz w:val="22"/>
          <w:szCs w:val="22"/>
        </w:rPr>
        <w:t>Funciones del responsable del contrato por parte de la Universidad:</w:t>
      </w:r>
    </w:p>
    <w:p w14:paraId="5DFB2AFE" w14:textId="77777777" w:rsidR="00415557" w:rsidRDefault="00415557" w:rsidP="00E955C0">
      <w:pPr>
        <w:autoSpaceDE w:val="0"/>
        <w:autoSpaceDN w:val="0"/>
        <w:adjustRightInd w:val="0"/>
        <w:spacing w:before="120" w:after="120" w:line="276" w:lineRule="auto"/>
        <w:jc w:val="both"/>
        <w:rPr>
          <w:rFonts w:ascii="Verdana" w:hAnsi="Verdana"/>
        </w:rPr>
      </w:pPr>
      <w:r>
        <w:rPr>
          <w:rFonts w:ascii="Verdana" w:hAnsi="Verdana"/>
        </w:rPr>
        <w:t>Se incluirá un apartado en el que se recogerán las funciones del Responsable del contrato, con este contenido mínimo:</w:t>
      </w:r>
    </w:p>
    <w:p w14:paraId="3DBE1F7A" w14:textId="18F6C4D0" w:rsidR="00E955C0" w:rsidRPr="00BE6C24" w:rsidRDefault="00415557" w:rsidP="00E955C0">
      <w:pPr>
        <w:autoSpaceDE w:val="0"/>
        <w:autoSpaceDN w:val="0"/>
        <w:adjustRightInd w:val="0"/>
        <w:spacing w:before="120" w:after="120" w:line="276" w:lineRule="auto"/>
        <w:jc w:val="both"/>
        <w:rPr>
          <w:rFonts w:ascii="Verdana" w:hAnsi="Verdana"/>
        </w:rPr>
      </w:pPr>
      <w:r>
        <w:rPr>
          <w:rFonts w:ascii="Verdana" w:hAnsi="Verdana"/>
        </w:rPr>
        <w:t>“</w:t>
      </w:r>
      <w:r w:rsidR="00E955C0" w:rsidRPr="00BE6C24">
        <w:rPr>
          <w:rFonts w:ascii="Verdana" w:hAnsi="Verdana"/>
        </w:rPr>
        <w:t>Al responsable del contrato le corresponde:</w:t>
      </w:r>
    </w:p>
    <w:p w14:paraId="41CA6E27" w14:textId="60C829B0"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 xml:space="preserve">Realizar el seguimiento material de la ejecución del contrato para constatar que el contratista cumple sus obligaciones de ejecución en los términos acordados en el contrato, incluida la oferta técnica del adjudicatario, en su caso, y las condiciones especiales de ejecución. </w:t>
      </w:r>
    </w:p>
    <w:p w14:paraId="0DF0980D" w14:textId="3FBADC01"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Verificar el cumplimiento de las obligaciones del adjudicatario en materia social y medioambiental y en relación con los subcontratistas si los hubiera, que se puedan constatar materialmente en el lugar de prestación del servicio.</w:t>
      </w:r>
    </w:p>
    <w:p w14:paraId="16B9D5BC" w14:textId="37C7929E"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 xml:space="preserve">Dar al contratista las instrucciones oportunas para asegurar el efectivo cumplimiento del contrato en los términos pactados, que serán inmediatamente ejecutivas en cuanto puedan afectar a la seguridad de las personas o cuando la demora en su aplicación pueda implicar que devengan inútiles posteriormente en función del desarrollo de la ejecución del contrato; en los demás casos, y en caso de mostrar su disconformidad el adjudicatario, resolverá sobre la medida a adoptar el órgano de contratación, sin perjuicio de las posibles indemnizaciones que puedan proceder. </w:t>
      </w:r>
    </w:p>
    <w:p w14:paraId="72495872" w14:textId="3A094CB1"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 xml:space="preserve">Informar al órgano de contratación sobre la alteración de los medios humanos y materiales que el contratista se obligó a adscribir a la ejecución del contrato, el plan de trabajo o cualquier otra modificación material en la ejecución del contrato. </w:t>
      </w:r>
    </w:p>
    <w:p w14:paraId="02D314BD" w14:textId="030BDD2A"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 xml:space="preserve">Proponer al órgano de contratación las modificaciones el contrato que a su juicio sea conveniente introducir para garantizar la adecuada satisfacción de las necesidades que han motivado el contrato. </w:t>
      </w:r>
    </w:p>
    <w:p w14:paraId="76CF4BEE" w14:textId="2655EA5E"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 xml:space="preserve">Proponer la imposición de penalidades y/o reclamación de indemnizaciones por incumplimientos contractuales. </w:t>
      </w:r>
    </w:p>
    <w:p w14:paraId="09A0EF4A" w14:textId="064259E7"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 xml:space="preserve">Informar en los expedientes de reclamación de daños y perjuicios que haya suscitado la ejecución del contrato. </w:t>
      </w:r>
    </w:p>
    <w:p w14:paraId="7E089DCE" w14:textId="062137E8"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 xml:space="preserve">Iniciar, en su caso, el expediente de reajuste de anualidades cuando por incidencias en la ejecución del contrato sea necesario. </w:t>
      </w:r>
    </w:p>
    <w:p w14:paraId="2B9AE352" w14:textId="42BB4823"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 xml:space="preserve">Cuando en el contrato se hayan incluido productos, proveedores y/o procesos de fabricación certificados como de «Comercio Justo», se realizará un control específico del cumplimiento de este requisito. </w:t>
      </w:r>
    </w:p>
    <w:p w14:paraId="700F8173" w14:textId="5FDFED05"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lastRenderedPageBreak/>
        <w:t xml:space="preserve">Conformar las facturas derivadas de la ejecución del contrato. </w:t>
      </w:r>
    </w:p>
    <w:p w14:paraId="1DE60F9E" w14:textId="1D2A28DE"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 xml:space="preserve">Informar al órgano de contratación sobre la ejecución del contrato siempre que éste lo solicite y expresamente por escrito sobre el cumplimiento por parte del contratista de todas sus obligaciones contractuales, al menos con la factura que corresponda con el momento medio de ejecución del contrato y con la penúltima. </w:t>
      </w:r>
    </w:p>
    <w:p w14:paraId="1DF1D72C" w14:textId="1D71CA0E"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 xml:space="preserve">Iniciar el expediente de resolución del contrato. </w:t>
      </w:r>
    </w:p>
    <w:p w14:paraId="61D8845B" w14:textId="23483947"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 xml:space="preserve">Informar los expedientes de devolución o cancelación de garantías. </w:t>
      </w:r>
    </w:p>
    <w:p w14:paraId="4A5A7AF0" w14:textId="794E71DF" w:rsidR="00E955C0" w:rsidRPr="00AC47F0" w:rsidRDefault="00E955C0"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Cuando el contrato esté financiado con fondos del Plan de Recuperación, Transformación y Resiliencia, realizar el seguimiento</w:t>
      </w:r>
      <w:r w:rsidR="00B45267" w:rsidRPr="00AC47F0">
        <w:rPr>
          <w:rFonts w:ascii="Verdana" w:hAnsi="Verdana"/>
        </w:rPr>
        <w:t xml:space="preserve"> e informar</w:t>
      </w:r>
      <w:r w:rsidRPr="00AC47F0">
        <w:rPr>
          <w:rFonts w:ascii="Verdana" w:hAnsi="Verdana"/>
        </w:rPr>
        <w:t xml:space="preserve"> del cumplimiento de los hitos y objetivos que la entidad contratante haya comprometido alcanzar con el contrato en cuestión, así como las obligaciones en materia de etiquetado verde y etiquetado digital y para no causar un daño significativo al medio ambiente. </w:t>
      </w:r>
    </w:p>
    <w:p w14:paraId="69668A37" w14:textId="71931930" w:rsidR="003C7FF3" w:rsidRPr="00AC47F0" w:rsidRDefault="003C7FF3" w:rsidP="00AC47F0">
      <w:pPr>
        <w:pStyle w:val="Prrafodelista"/>
        <w:numPr>
          <w:ilvl w:val="0"/>
          <w:numId w:val="9"/>
        </w:numPr>
        <w:autoSpaceDE w:val="0"/>
        <w:autoSpaceDN w:val="0"/>
        <w:adjustRightInd w:val="0"/>
        <w:spacing w:before="120" w:after="120" w:line="276" w:lineRule="auto"/>
        <w:jc w:val="both"/>
        <w:rPr>
          <w:rFonts w:ascii="Verdana" w:hAnsi="Verdana"/>
        </w:rPr>
      </w:pPr>
      <w:r w:rsidRPr="00AC47F0">
        <w:rPr>
          <w:rFonts w:ascii="Verdana" w:hAnsi="Verdana"/>
        </w:rPr>
        <w:t>Verificar el cumplimiento por parte del contratista de sus obligaciones en relación con los subcontratistas.</w:t>
      </w:r>
    </w:p>
    <w:p w14:paraId="18F739A4" w14:textId="77777777" w:rsidR="00E955C0" w:rsidRPr="00BE6C24" w:rsidRDefault="00E955C0" w:rsidP="00D31F7F">
      <w:pPr>
        <w:pStyle w:val="Default"/>
        <w:spacing w:before="120" w:after="120" w:line="276" w:lineRule="auto"/>
        <w:jc w:val="both"/>
        <w:rPr>
          <w:rFonts w:ascii="Verdana" w:hAnsi="Verdana" w:cstheme="minorBidi"/>
          <w:color w:val="auto"/>
          <w:sz w:val="22"/>
          <w:szCs w:val="22"/>
        </w:rPr>
      </w:pPr>
    </w:p>
    <w:p w14:paraId="000E14A7" w14:textId="765088BF" w:rsidR="00943B85" w:rsidRDefault="00943B85" w:rsidP="00D31F7F">
      <w:pPr>
        <w:pStyle w:val="Default"/>
        <w:spacing w:before="120" w:after="120" w:line="276" w:lineRule="auto"/>
        <w:jc w:val="both"/>
        <w:rPr>
          <w:rFonts w:ascii="Verdana" w:hAnsi="Verdana"/>
          <w:b/>
          <w:bCs/>
          <w:sz w:val="22"/>
          <w:szCs w:val="22"/>
        </w:rPr>
      </w:pPr>
      <w:r w:rsidRPr="00BE6C24">
        <w:rPr>
          <w:rFonts w:ascii="Verdana" w:hAnsi="Verdana"/>
          <w:b/>
          <w:bCs/>
          <w:sz w:val="22"/>
          <w:szCs w:val="22"/>
        </w:rPr>
        <w:t xml:space="preserve">Obligaciones de la contratista derivadas de la financiación de este contrato con cargo al Mecanismo de Recuperación y Resiliencia de la UE </w:t>
      </w:r>
    </w:p>
    <w:p w14:paraId="0A9B0B87" w14:textId="339A7847" w:rsidR="00415557" w:rsidRPr="006A6C3C" w:rsidRDefault="00415557" w:rsidP="00D31F7F">
      <w:pPr>
        <w:pStyle w:val="Default"/>
        <w:spacing w:before="120" w:after="120" w:line="276" w:lineRule="auto"/>
        <w:jc w:val="both"/>
        <w:rPr>
          <w:rFonts w:ascii="Verdana" w:hAnsi="Verdana"/>
          <w:b/>
          <w:bCs/>
          <w:sz w:val="22"/>
          <w:szCs w:val="22"/>
        </w:rPr>
      </w:pPr>
      <w:r w:rsidRPr="006A6C3C">
        <w:rPr>
          <w:rFonts w:ascii="Verdana" w:hAnsi="Verdana"/>
          <w:b/>
          <w:bCs/>
          <w:sz w:val="22"/>
          <w:szCs w:val="22"/>
        </w:rPr>
        <w:t>Se incluirá este apartado con el siguiente contenido</w:t>
      </w:r>
      <w:r w:rsidR="006A6C3C">
        <w:rPr>
          <w:rFonts w:ascii="Verdana" w:hAnsi="Verdana"/>
          <w:b/>
          <w:bCs/>
          <w:sz w:val="22"/>
          <w:szCs w:val="22"/>
        </w:rPr>
        <w:t xml:space="preserve"> adaptado a las características del contrato</w:t>
      </w:r>
      <w:r w:rsidRPr="006A6C3C">
        <w:rPr>
          <w:rFonts w:ascii="Verdana" w:hAnsi="Verdana"/>
          <w:b/>
          <w:bCs/>
          <w:sz w:val="22"/>
          <w:szCs w:val="22"/>
        </w:rPr>
        <w:t>:</w:t>
      </w:r>
    </w:p>
    <w:p w14:paraId="26DB0B4E" w14:textId="57DFC564" w:rsidR="00943B85" w:rsidRPr="00BE6C24" w:rsidRDefault="00943B85" w:rsidP="00D31F7F">
      <w:pPr>
        <w:spacing w:before="120" w:after="120" w:line="276" w:lineRule="auto"/>
        <w:jc w:val="both"/>
        <w:rPr>
          <w:rFonts w:ascii="Verdana" w:hAnsi="Verdana"/>
        </w:rPr>
      </w:pPr>
      <w:r w:rsidRPr="00BE6C24">
        <w:rPr>
          <w:rFonts w:ascii="Verdana" w:hAnsi="Verdana"/>
        </w:rPr>
        <w:t>El contratista deberá cumplir las obligaciones comunitarias y nacionales relativas a la financiación del Mecanismo de Recuperación y Resiliencia de la UE y se someterá a las medidas de control y auditoría recogidas en el Reglamento (UE) 2021/241 del Parlamento Europeo y del Consejo de 12 de febrero de 2021 por el que se establece el Mecanismo de Recuperación y Resiliencia</w:t>
      </w:r>
      <w:r w:rsidR="00615AF8">
        <w:rPr>
          <w:rStyle w:val="Refdenotaalpie"/>
          <w:rFonts w:ascii="Verdana" w:hAnsi="Verdana"/>
        </w:rPr>
        <w:footnoteReference w:id="1"/>
      </w:r>
      <w:r w:rsidRPr="00BE6C24">
        <w:rPr>
          <w:rFonts w:ascii="Verdana" w:hAnsi="Verdana"/>
        </w:rPr>
        <w:t>,</w:t>
      </w:r>
      <w:r w:rsidR="002E4D14">
        <w:rPr>
          <w:rFonts w:ascii="Verdana" w:hAnsi="Verdana"/>
        </w:rPr>
        <w:t xml:space="preserve"> </w:t>
      </w:r>
      <w:r w:rsidRPr="00BE6C24">
        <w:rPr>
          <w:rFonts w:ascii="Verdana" w:hAnsi="Verdana"/>
        </w:rPr>
        <w:t>de acuerdo con las condiciones previstas en el Pliego de Cláusulas Administrativas Particulares, que forman parte del presente contrato</w:t>
      </w:r>
      <w:r w:rsidR="00332F5E" w:rsidRPr="00BE6C24">
        <w:rPr>
          <w:rFonts w:ascii="Verdana" w:hAnsi="Verdana"/>
        </w:rPr>
        <w:t>, entre las que se incluyen las siguientes obligaciones:</w:t>
      </w:r>
    </w:p>
    <w:p w14:paraId="527D5145" w14:textId="4DEEA816" w:rsidR="00AC67DF" w:rsidRPr="00BE6C24" w:rsidRDefault="00AC67DF" w:rsidP="00890FDF">
      <w:pPr>
        <w:tabs>
          <w:tab w:val="left" w:pos="179"/>
        </w:tabs>
        <w:spacing w:before="120" w:after="120" w:line="276" w:lineRule="auto"/>
        <w:jc w:val="both"/>
        <w:rPr>
          <w:rFonts w:ascii="Verdana" w:hAnsi="Verdana" w:cs="Arial"/>
          <w:color w:val="FF0000"/>
        </w:rPr>
      </w:pPr>
      <w:bookmarkStart w:id="1" w:name="_Hlk92992341"/>
      <w:r w:rsidRPr="00BE6C24">
        <w:rPr>
          <w:rFonts w:ascii="Verdana" w:hAnsi="Verdana" w:cs="Arial"/>
          <w:color w:val="FF0000"/>
        </w:rPr>
        <w:t xml:space="preserve">Además de </w:t>
      </w:r>
      <w:r w:rsidR="00615AF8">
        <w:rPr>
          <w:rFonts w:ascii="Verdana" w:hAnsi="Verdana" w:cs="Arial"/>
          <w:color w:val="FF0000"/>
        </w:rPr>
        <w:t>las siguientes</w:t>
      </w:r>
      <w:r w:rsidRPr="00BE6C24">
        <w:rPr>
          <w:rFonts w:ascii="Verdana" w:hAnsi="Verdana" w:cs="Arial"/>
          <w:color w:val="FF0000"/>
        </w:rPr>
        <w:t xml:space="preserve"> obligaci</w:t>
      </w:r>
      <w:r w:rsidR="00CB4165">
        <w:rPr>
          <w:rFonts w:ascii="Verdana" w:hAnsi="Verdana" w:cs="Arial"/>
          <w:color w:val="FF0000"/>
        </w:rPr>
        <w:t>o</w:t>
      </w:r>
      <w:r w:rsidRPr="00BE6C24">
        <w:rPr>
          <w:rFonts w:ascii="Verdana" w:hAnsi="Verdana" w:cs="Arial"/>
          <w:color w:val="FF0000"/>
        </w:rPr>
        <w:t>n</w:t>
      </w:r>
      <w:r w:rsidR="00CB4165">
        <w:rPr>
          <w:rFonts w:ascii="Verdana" w:hAnsi="Verdana" w:cs="Arial"/>
          <w:color w:val="FF0000"/>
        </w:rPr>
        <w:t>es</w:t>
      </w:r>
      <w:r w:rsidRPr="00BE6C24">
        <w:rPr>
          <w:rFonts w:ascii="Verdana" w:hAnsi="Verdana" w:cs="Arial"/>
          <w:color w:val="FF0000"/>
        </w:rPr>
        <w:t xml:space="preserve"> se deben incluir las condiciones específicas previstas en la inversión concreta del componente del Plan de </w:t>
      </w:r>
      <w:r w:rsidR="00A35C16" w:rsidRPr="00BE6C24">
        <w:rPr>
          <w:rFonts w:ascii="Verdana" w:hAnsi="Verdana" w:cs="Arial"/>
          <w:color w:val="FF0000"/>
        </w:rPr>
        <w:t>Recuperación</w:t>
      </w:r>
      <w:r w:rsidRPr="00BE6C24">
        <w:rPr>
          <w:rFonts w:ascii="Verdana" w:hAnsi="Verdana" w:cs="Arial"/>
          <w:color w:val="FF0000"/>
        </w:rPr>
        <w:t xml:space="preserve"> y </w:t>
      </w:r>
      <w:proofErr w:type="spellStart"/>
      <w:r w:rsidRPr="00BE6C24">
        <w:rPr>
          <w:rFonts w:ascii="Verdana" w:hAnsi="Verdana" w:cs="Arial"/>
          <w:color w:val="FF0000"/>
        </w:rPr>
        <w:t>Resilencia</w:t>
      </w:r>
      <w:proofErr w:type="spellEnd"/>
      <w:r w:rsidRPr="00BE6C24">
        <w:rPr>
          <w:rFonts w:ascii="Verdana" w:hAnsi="Verdana" w:cs="Arial"/>
          <w:color w:val="FF0000"/>
        </w:rPr>
        <w:t xml:space="preserve"> en el que se enmarquen las actuaciones.</w:t>
      </w:r>
    </w:p>
    <w:p w14:paraId="1C1E7CC2" w14:textId="6968E7DB" w:rsidR="00AC67DF" w:rsidRPr="00BE6C24" w:rsidRDefault="00AC67DF" w:rsidP="00D31F7F">
      <w:pPr>
        <w:tabs>
          <w:tab w:val="left" w:pos="179"/>
        </w:tabs>
        <w:spacing w:before="120" w:after="120" w:line="276" w:lineRule="auto"/>
        <w:ind w:left="37"/>
        <w:jc w:val="both"/>
        <w:rPr>
          <w:rFonts w:ascii="Verdana" w:hAnsi="Verdana" w:cs="Arial"/>
        </w:rPr>
      </w:pPr>
      <w:r w:rsidRPr="00BE6C24">
        <w:rPr>
          <w:rFonts w:ascii="Verdana" w:hAnsi="Verdana" w:cs="Arial"/>
          <w:color w:val="FF0000"/>
        </w:rPr>
        <w:lastRenderedPageBreak/>
        <w:t>-</w:t>
      </w:r>
      <w:r w:rsidR="00890FDF" w:rsidRPr="00BE6C24">
        <w:rPr>
          <w:rFonts w:ascii="Verdana" w:hAnsi="Verdana" w:cs="Arial"/>
          <w:color w:val="FF0000"/>
        </w:rPr>
        <w:t xml:space="preserve"> </w:t>
      </w:r>
      <w:r w:rsidRPr="00BE6C24">
        <w:rPr>
          <w:rFonts w:ascii="Verdana" w:hAnsi="Verdana" w:cs="Arial"/>
          <w:color w:val="FF0000"/>
        </w:rPr>
        <w:t xml:space="preserve">Etiquetado de contribución climática correspondiente a la inversión: </w:t>
      </w:r>
      <w:r w:rsidRPr="00BE6C24">
        <w:rPr>
          <w:rFonts w:ascii="Verdana" w:hAnsi="Verdana" w:cs="Arial"/>
        </w:rPr>
        <w:t xml:space="preserve">Cumplimiento de las condiciones asociadas a la etiqueta prevista (Consultar Anexo VI del </w:t>
      </w:r>
      <w:r w:rsidRPr="00BE6C24">
        <w:rPr>
          <w:rFonts w:ascii="Verdana" w:hAnsi="Verdana"/>
        </w:rPr>
        <w:t>Reglamento UE 2021/241)</w:t>
      </w:r>
    </w:p>
    <w:bookmarkEnd w:id="1"/>
    <w:p w14:paraId="19798D38" w14:textId="3B63C4F6" w:rsidR="00263C61" w:rsidRPr="00BE6C24" w:rsidRDefault="00A35C16" w:rsidP="00D31F7F">
      <w:pPr>
        <w:spacing w:before="120" w:after="120" w:line="276" w:lineRule="auto"/>
        <w:jc w:val="both"/>
        <w:rPr>
          <w:rFonts w:ascii="Verdana" w:hAnsi="Verdana"/>
        </w:rPr>
      </w:pPr>
      <w:r w:rsidRPr="00BE6C24">
        <w:rPr>
          <w:rFonts w:ascii="Verdana" w:hAnsi="Verdana"/>
        </w:rPr>
        <w:t xml:space="preserve">- </w:t>
      </w:r>
      <w:r w:rsidR="00263C61" w:rsidRPr="00BE6C24">
        <w:rPr>
          <w:rFonts w:ascii="Verdana" w:hAnsi="Verdana"/>
        </w:rPr>
        <w:t>Será responsable de la fiabilidad y el seguimiento de la ejecución de las actuaciones objeto del contrato, de manera que pueda conocerse en todo momento el nivel de consecución de cada actuación y de los hitos y objetivos que se hayan establecido al respecto.</w:t>
      </w:r>
    </w:p>
    <w:p w14:paraId="62DC2D54" w14:textId="60FE3171" w:rsidR="00263C61" w:rsidRPr="00BE6C24" w:rsidRDefault="00A35C16"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 </w:t>
      </w:r>
      <w:r w:rsidR="00263C61" w:rsidRPr="00BE6C24">
        <w:rPr>
          <w:rFonts w:ascii="Verdana" w:hAnsi="Verdana"/>
          <w:sz w:val="22"/>
          <w:szCs w:val="22"/>
        </w:rPr>
        <w:t xml:space="preserve">Deberá establecer mecanismos que aseguren que las actuaciones a desarrollar por terceros contribuyen al logro de las actuaciones previstas y que dichos terceros aporten la información que, en su caso, fuera necesaria para determinar el valor de los indicadores de seguimiento del Plan de Recuperación, Transformación y Resiliencia. </w:t>
      </w:r>
    </w:p>
    <w:p w14:paraId="33C3CEFA" w14:textId="4685630B" w:rsidR="00263C61" w:rsidRPr="00BE6C24" w:rsidRDefault="00A35C16"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 </w:t>
      </w:r>
      <w:r w:rsidR="00263C61" w:rsidRPr="00BE6C24">
        <w:rPr>
          <w:rFonts w:ascii="Verdana" w:hAnsi="Verdana"/>
          <w:sz w:val="22"/>
          <w:szCs w:val="22"/>
        </w:rPr>
        <w:t xml:space="preserve">Asume el mantenimiento de una adecuada pista de auditoría de las actuaciones realizadas en el marco de este contrato, y la obligación de mantenimiento de la documentación soporte. El suministro de la información se realizará en los términos que establezca el Ministerio de Hacienda de conformidad con la normativa nacional y comunitaria. </w:t>
      </w:r>
    </w:p>
    <w:p w14:paraId="56BBDA1F" w14:textId="4E9AE4B4" w:rsidR="00263C61" w:rsidRPr="00BE6C24" w:rsidRDefault="00A35C16"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 </w:t>
      </w:r>
      <w:r w:rsidR="00263C61" w:rsidRPr="00BE6C24">
        <w:rPr>
          <w:rFonts w:ascii="Verdana" w:hAnsi="Verdana"/>
          <w:sz w:val="22"/>
          <w:szCs w:val="22"/>
        </w:rPr>
        <w:t xml:space="preserve">Obligación de aseguramiento de la regularidad del gasto subyacente y de la adopción de medidas dirigidas a prevenir, detectar, comunicar y corregir el fraude y la corrupción, prevenir el conflicto de interés y la doble financiación. </w:t>
      </w:r>
    </w:p>
    <w:p w14:paraId="7B2E67AA" w14:textId="109F4ACC" w:rsidR="00263C61" w:rsidRPr="00BE6C24" w:rsidRDefault="00A35C16"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 </w:t>
      </w:r>
      <w:r w:rsidR="00263C61" w:rsidRPr="00BE6C24">
        <w:rPr>
          <w:rFonts w:ascii="Verdana" w:hAnsi="Verdana"/>
          <w:sz w:val="22"/>
          <w:szCs w:val="22"/>
        </w:rPr>
        <w:t xml:space="preserve">Requisitos de pista de auditoría: obligación de guardar la trazabilidad de cada una de las inversiones y cada uno de los perceptores finales de los fondos, así como de disponer de un sistema que permita calcular y seguir el cumplimiento de objetivos y medición de indicadores. </w:t>
      </w:r>
    </w:p>
    <w:p w14:paraId="7CECAD88" w14:textId="4442265A" w:rsidR="00263C61" w:rsidRPr="00BE6C24" w:rsidRDefault="00A35C16"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 </w:t>
      </w:r>
      <w:r w:rsidR="00263C61" w:rsidRPr="00BE6C24">
        <w:rPr>
          <w:rFonts w:ascii="Verdana" w:hAnsi="Verdana"/>
          <w:sz w:val="22"/>
          <w:szCs w:val="22"/>
        </w:rPr>
        <w:t xml:space="preserve">Obligaciones en materia de información, comunicación y publicidad contempladas en el artículo 34 del Reglamento (UE) 2021/241, relativo al Mecanismo de Recuperación y Resiliencia, sobre la financiación comunitaria de las medidas incluidas en el Plan de Recuperación, Transformación y Resiliencia. </w:t>
      </w:r>
    </w:p>
    <w:p w14:paraId="4BCA8BF0" w14:textId="2496EBE4" w:rsidR="00263C61" w:rsidRPr="00BE6C24" w:rsidRDefault="00A35C16"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 </w:t>
      </w:r>
      <w:r w:rsidR="00263C61" w:rsidRPr="00BE6C24">
        <w:rPr>
          <w:rFonts w:ascii="Verdana" w:hAnsi="Verdana"/>
          <w:sz w:val="22"/>
          <w:szCs w:val="22"/>
        </w:rPr>
        <w:t xml:space="preserve">Sometimiento a las actuaciones de control de las instituciones comunitarias en virtud de lo establecido en el artículo 22, letra e) del Reglamento (UE) 2021/241. </w:t>
      </w:r>
    </w:p>
    <w:p w14:paraId="7B1F8695" w14:textId="1B25A569" w:rsidR="00263C61" w:rsidRPr="00BE6C24" w:rsidRDefault="00A35C16" w:rsidP="00A35C16">
      <w:pPr>
        <w:pStyle w:val="Default"/>
        <w:spacing w:before="120" w:after="120" w:line="276" w:lineRule="auto"/>
        <w:jc w:val="both"/>
        <w:rPr>
          <w:rFonts w:ascii="Verdana" w:hAnsi="Verdana"/>
          <w:sz w:val="22"/>
          <w:szCs w:val="22"/>
        </w:rPr>
      </w:pPr>
      <w:r w:rsidRPr="00BE6C24">
        <w:rPr>
          <w:rFonts w:ascii="Verdana" w:hAnsi="Verdana"/>
          <w:sz w:val="22"/>
          <w:szCs w:val="22"/>
        </w:rPr>
        <w:t xml:space="preserve">- </w:t>
      </w:r>
      <w:r w:rsidR="00263C61" w:rsidRPr="00BE6C24">
        <w:rPr>
          <w:rFonts w:ascii="Verdana" w:hAnsi="Verdana"/>
          <w:sz w:val="22"/>
          <w:szCs w:val="22"/>
        </w:rPr>
        <w:t xml:space="preserve">Custodia y conservación de la documentación vinculada a la actividad financiada por el </w:t>
      </w:r>
      <w:r w:rsidR="00332F5E" w:rsidRPr="00BE6C24">
        <w:rPr>
          <w:rFonts w:ascii="Verdana" w:hAnsi="Verdana"/>
          <w:sz w:val="22"/>
          <w:szCs w:val="22"/>
        </w:rPr>
        <w:t xml:space="preserve">Mecanismo de Recuperación y </w:t>
      </w:r>
      <w:proofErr w:type="spellStart"/>
      <w:r w:rsidR="00332F5E" w:rsidRPr="00BE6C24">
        <w:rPr>
          <w:rFonts w:ascii="Verdana" w:hAnsi="Verdana"/>
          <w:sz w:val="22"/>
          <w:szCs w:val="22"/>
        </w:rPr>
        <w:t>Resilencia</w:t>
      </w:r>
      <w:proofErr w:type="spellEnd"/>
      <w:r w:rsidR="00D31F7F" w:rsidRPr="00BE6C24">
        <w:rPr>
          <w:rFonts w:ascii="Verdana" w:hAnsi="Verdana"/>
          <w:sz w:val="22"/>
          <w:szCs w:val="22"/>
        </w:rPr>
        <w:t xml:space="preserve"> </w:t>
      </w:r>
      <w:r w:rsidR="00263C61" w:rsidRPr="00BE6C24">
        <w:rPr>
          <w:rFonts w:ascii="Verdana" w:hAnsi="Verdana"/>
          <w:sz w:val="22"/>
          <w:szCs w:val="22"/>
        </w:rPr>
        <w:t xml:space="preserve">MRR. </w:t>
      </w:r>
    </w:p>
    <w:p w14:paraId="7D725519" w14:textId="21003C8B" w:rsidR="00263C61" w:rsidRPr="00BE6C24" w:rsidRDefault="009D2B57" w:rsidP="009D2B57">
      <w:pPr>
        <w:pStyle w:val="Default"/>
        <w:spacing w:before="120" w:after="120" w:line="276" w:lineRule="auto"/>
        <w:jc w:val="both"/>
        <w:rPr>
          <w:rFonts w:ascii="Verdana" w:hAnsi="Verdana"/>
          <w:sz w:val="22"/>
          <w:szCs w:val="22"/>
        </w:rPr>
      </w:pPr>
      <w:r w:rsidRPr="00BE6C24">
        <w:rPr>
          <w:rFonts w:ascii="Verdana" w:hAnsi="Verdana"/>
          <w:sz w:val="22"/>
          <w:szCs w:val="22"/>
        </w:rPr>
        <w:t>-</w:t>
      </w:r>
      <w:r w:rsidR="00890FDF" w:rsidRPr="00BE6C24">
        <w:rPr>
          <w:rFonts w:ascii="Verdana" w:hAnsi="Verdana"/>
          <w:sz w:val="22"/>
          <w:szCs w:val="22"/>
        </w:rPr>
        <w:t xml:space="preserve"> </w:t>
      </w:r>
      <w:r w:rsidRPr="00BE6C24">
        <w:rPr>
          <w:rFonts w:ascii="Verdana" w:hAnsi="Verdana"/>
          <w:sz w:val="22"/>
          <w:szCs w:val="22"/>
        </w:rPr>
        <w:t xml:space="preserve">Obligatoriedad  de respetar el principio DNSH (No causar daño significativo al medioambiente): no apoyar o llevar a cabo actividades económicas que causen un perjuicio significativo a alguno de los objetivos medioambientales, en su caso, en el sentido en del artículo 17 del Reglamento (UE) 2020/852, Reglamento UE 2021/241 del Parlamento Europeo y del Consejo de 12 de </w:t>
      </w:r>
      <w:r w:rsidRPr="00BE6C24">
        <w:rPr>
          <w:rFonts w:ascii="Verdana" w:hAnsi="Verdana"/>
          <w:sz w:val="22"/>
          <w:szCs w:val="22"/>
        </w:rPr>
        <w:lastRenderedPageBreak/>
        <w:t xml:space="preserve">febrero de 2021 y Reglamento UE 2020/852 y Guía Técnica de la Comisión Europea sobre la aplicación de este principio 2021/C58/01 sobre su aplicación. </w:t>
      </w:r>
      <w:r w:rsidR="00263C61" w:rsidRPr="00BE6C24">
        <w:rPr>
          <w:rFonts w:ascii="Verdana" w:hAnsi="Verdana"/>
          <w:sz w:val="22"/>
          <w:szCs w:val="22"/>
        </w:rPr>
        <w:t xml:space="preserve">A tal fin, no podrán ser sufragadas aquellas actuaciones que directa o indirectamente ocasionen un perjuicio significativo al medio ambiente, de acuerdo con el artículo 17 del Reglamento (UE) 2020/852 del Parlamento Europeo y del Consejo de 18 de junio de 2020 relativo al establecimiento de un marco para facilitar las inversiones sostenibles y por el que se modifica el Reglamento (UE) 2019/2088. </w:t>
      </w:r>
    </w:p>
    <w:p w14:paraId="2637A9BA" w14:textId="77777777"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En concreto, no se podrán sufragar las siguientes actividades: </w:t>
      </w:r>
    </w:p>
    <w:p w14:paraId="407711F9" w14:textId="09F3ADA8" w:rsidR="00263C61" w:rsidRPr="00BE6C24" w:rsidRDefault="00263C61" w:rsidP="009D2B57">
      <w:pPr>
        <w:pStyle w:val="Default"/>
        <w:spacing w:before="120" w:after="120" w:line="276" w:lineRule="auto"/>
        <w:ind w:left="360"/>
        <w:jc w:val="both"/>
        <w:rPr>
          <w:rFonts w:ascii="Verdana" w:hAnsi="Verdana"/>
          <w:sz w:val="22"/>
          <w:szCs w:val="22"/>
        </w:rPr>
      </w:pPr>
      <w:r w:rsidRPr="00BE6C24">
        <w:rPr>
          <w:rFonts w:ascii="Verdana" w:hAnsi="Verdana"/>
          <w:sz w:val="22"/>
          <w:szCs w:val="22"/>
        </w:rPr>
        <w:t xml:space="preserve">Aquellas relacionadas con combustibles fósiles, incluido el uso posterior salvo que se refieran a la generación de electricidad y/o calor, así como la infraestructura de transporte y distribución conexa, utilizando gas natural que cumplan con las condiciones previstas en el Anexo III de la Guía técnica sobre la aplicación del principio de «no causar un perjuicio significativo». </w:t>
      </w:r>
    </w:p>
    <w:p w14:paraId="207D4878" w14:textId="1D6E11E5" w:rsidR="00263C61" w:rsidRPr="00BE6C24" w:rsidRDefault="00263C61" w:rsidP="009D2B57">
      <w:pPr>
        <w:pStyle w:val="Default"/>
        <w:spacing w:before="120" w:after="120" w:line="276" w:lineRule="auto"/>
        <w:ind w:left="360"/>
        <w:jc w:val="both"/>
        <w:rPr>
          <w:rFonts w:ascii="Verdana" w:hAnsi="Verdana"/>
          <w:sz w:val="22"/>
          <w:szCs w:val="22"/>
        </w:rPr>
      </w:pPr>
      <w:r w:rsidRPr="00BE6C24">
        <w:rPr>
          <w:rFonts w:ascii="Verdana" w:hAnsi="Verdana"/>
          <w:sz w:val="22"/>
          <w:szCs w:val="22"/>
        </w:rPr>
        <w:t xml:space="preserve">Aquellas incluidas en el régimen de comercio de derechos de emisión de la UE cuyas emisiones de gases de efecto invernadero estimadas no sean inferiores a los parámetros de referencia. En caso de que la actividad sufragada no conduzca a unas estimaciones de emisiones de gases de efecto invernadero que sean significativamente inferiores a los parámetros previstos, deberá aportarse una memoria en la que se detallen las razones que lo impidan. Los valores revisados de los parámetros de referencia para la asignación gratuita de derechos de emisión se prevén en el Reglamento de Ejecución (UE) 2021/447 de la comisión de 12 de marzo de 2021. </w:t>
      </w:r>
    </w:p>
    <w:p w14:paraId="6942C252" w14:textId="56121058" w:rsidR="00263C61" w:rsidRPr="00BE6C24" w:rsidRDefault="00263C61" w:rsidP="00D046AC">
      <w:pPr>
        <w:pStyle w:val="Default"/>
        <w:spacing w:before="120" w:after="120" w:line="276" w:lineRule="auto"/>
        <w:ind w:left="360"/>
        <w:jc w:val="both"/>
        <w:rPr>
          <w:rFonts w:ascii="Verdana" w:hAnsi="Verdana"/>
          <w:sz w:val="22"/>
          <w:szCs w:val="22"/>
        </w:rPr>
      </w:pPr>
      <w:r w:rsidRPr="00BE6C24">
        <w:rPr>
          <w:rFonts w:ascii="Verdana" w:hAnsi="Verdana"/>
          <w:sz w:val="22"/>
          <w:szCs w:val="22"/>
        </w:rPr>
        <w:t xml:space="preserve">Aquellas relativas a la disposición de residuos en vertederos, en incineradoras y en plantas de tratamiento mecánico biológico. Esta exclusión no afecta a aquellas medidas que inviertan en plantas que se dediquen de forma exclusiva al tratamiento de residuos peligrosos no reciclables siempre y cuando las medidas sufragadas tengan por objeto: incrementar la eficiencia energética, la captura de gases de escape para su almacenamiento o el uso o recuperación de materiales de las cenizas de incineración; y, no supongan un aumento de la capacidad de procesamiento de residuos o una extensión de la vida útil de la planta. </w:t>
      </w:r>
    </w:p>
    <w:p w14:paraId="5FF6C34A" w14:textId="2D70EF4B" w:rsidR="00263C61" w:rsidRPr="00BE6C24" w:rsidRDefault="00263C61" w:rsidP="00D046AC">
      <w:pPr>
        <w:pStyle w:val="Default"/>
        <w:spacing w:before="120" w:after="120" w:line="276" w:lineRule="auto"/>
        <w:ind w:left="360"/>
        <w:jc w:val="both"/>
        <w:rPr>
          <w:rFonts w:ascii="Verdana" w:hAnsi="Verdana"/>
          <w:sz w:val="22"/>
          <w:szCs w:val="22"/>
        </w:rPr>
      </w:pPr>
      <w:r w:rsidRPr="00BE6C24">
        <w:rPr>
          <w:rFonts w:ascii="Verdana" w:hAnsi="Verdana"/>
          <w:sz w:val="22"/>
          <w:szCs w:val="22"/>
        </w:rPr>
        <w:t xml:space="preserve">Aquellas en las que la eliminación a largo plazo de residuos puede causar daño al medio ambiente. </w:t>
      </w:r>
    </w:p>
    <w:p w14:paraId="07896F58" w14:textId="50C73C95" w:rsidR="00263C61" w:rsidRPr="00BE6C24" w:rsidRDefault="00890FDF" w:rsidP="00D31F7F">
      <w:pPr>
        <w:pStyle w:val="Default"/>
        <w:spacing w:before="120" w:after="120" w:line="276" w:lineRule="auto"/>
        <w:jc w:val="both"/>
        <w:rPr>
          <w:rFonts w:ascii="Verdana" w:hAnsi="Verdana"/>
          <w:sz w:val="22"/>
          <w:szCs w:val="22"/>
        </w:rPr>
      </w:pPr>
      <w:r w:rsidRPr="00BE6C24">
        <w:rPr>
          <w:rFonts w:ascii="Verdana" w:hAnsi="Verdana"/>
          <w:color w:val="FF0000"/>
          <w:sz w:val="22"/>
          <w:szCs w:val="22"/>
        </w:rPr>
        <w:t>E</w:t>
      </w:r>
      <w:r w:rsidR="00263C61" w:rsidRPr="00BE6C24">
        <w:rPr>
          <w:rFonts w:ascii="Verdana" w:hAnsi="Verdana"/>
          <w:color w:val="FF0000"/>
          <w:sz w:val="22"/>
          <w:szCs w:val="22"/>
        </w:rPr>
        <w:t>n aquellas actuaciones que contemplen obras</w:t>
      </w:r>
      <w:r w:rsidR="00263C61" w:rsidRPr="00BE6C24">
        <w:rPr>
          <w:rFonts w:ascii="Verdana" w:hAnsi="Verdana"/>
          <w:sz w:val="22"/>
          <w:szCs w:val="22"/>
        </w:rPr>
        <w:t xml:space="preserve">, se comprometerán a que: </w:t>
      </w:r>
    </w:p>
    <w:p w14:paraId="5A87DF40" w14:textId="61067174" w:rsidR="00263C61" w:rsidRPr="00BE6C24" w:rsidRDefault="00263C61" w:rsidP="00D046AC">
      <w:pPr>
        <w:pStyle w:val="Default"/>
        <w:spacing w:before="120" w:after="120" w:line="276" w:lineRule="auto"/>
        <w:jc w:val="both"/>
        <w:rPr>
          <w:rFonts w:ascii="Verdana" w:hAnsi="Verdana"/>
          <w:sz w:val="22"/>
          <w:szCs w:val="22"/>
        </w:rPr>
      </w:pPr>
      <w:r w:rsidRPr="00BE6C24">
        <w:rPr>
          <w:rFonts w:ascii="Verdana" w:hAnsi="Verdana"/>
          <w:sz w:val="22"/>
          <w:szCs w:val="22"/>
        </w:rPr>
        <w:t xml:space="preserve">Al menos el 70 % (en peso) de los residuos de construcción y demolición generados en los proyectos de infraestructura (con exclusión de los residuos con código LER 17 05 04), se preparen para la reutilización, el reciclaje y la </w:t>
      </w:r>
      <w:r w:rsidRPr="00BE6C24">
        <w:rPr>
          <w:rFonts w:ascii="Verdana" w:hAnsi="Verdana"/>
          <w:sz w:val="22"/>
          <w:szCs w:val="22"/>
        </w:rPr>
        <w:lastRenderedPageBreak/>
        <w:t xml:space="preserve">revalorización de otros materiales, incluidas las operaciones de relleno utilizando residuos para sustituir otros materiales de acuerdo con la jerarquía de residuos y el Protocolo de gestión de residuos de construcción y demolición de la UE. </w:t>
      </w:r>
    </w:p>
    <w:p w14:paraId="0F1D07B3" w14:textId="65FE3464" w:rsidR="00263C61" w:rsidRPr="00BE6C24" w:rsidRDefault="00D046AC" w:rsidP="00D31F7F">
      <w:pPr>
        <w:pStyle w:val="Default"/>
        <w:spacing w:before="120" w:after="120" w:line="276" w:lineRule="auto"/>
        <w:jc w:val="both"/>
        <w:rPr>
          <w:rFonts w:ascii="Verdana" w:hAnsi="Verdana"/>
          <w:sz w:val="22"/>
          <w:szCs w:val="22"/>
        </w:rPr>
      </w:pPr>
      <w:r w:rsidRPr="00BE6C24">
        <w:rPr>
          <w:rFonts w:ascii="Verdana" w:hAnsi="Verdana"/>
          <w:sz w:val="22"/>
          <w:szCs w:val="22"/>
        </w:rPr>
        <w:t>L</w:t>
      </w:r>
      <w:r w:rsidR="00263C61" w:rsidRPr="00BE6C24">
        <w:rPr>
          <w:rFonts w:ascii="Verdana" w:hAnsi="Verdana"/>
          <w:sz w:val="22"/>
          <w:szCs w:val="22"/>
        </w:rPr>
        <w:t xml:space="preserve">os operadores limiten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w:t>
      </w:r>
    </w:p>
    <w:p w14:paraId="3F22ABE6" w14:textId="77777777"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Los diseños de los edificios y las técnicas de construcción apoyen la circularidad en lo referido a la norma ISO 20887 para evaluar la capacidad de desmontaje o adaptabilidad de los edificios, cómo estos están diseñados para ser más eficientes en el uso de los recursos, adaptables, flexibles y desmontables para permitir la reutilización y el reciclaje. </w:t>
      </w:r>
    </w:p>
    <w:p w14:paraId="42FFEAE3" w14:textId="642CC8ED"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Los componentes y materiales de construcción utilizados en el desarrollo de las actuaciones previstas en esta medida no contengan amianto ni sustancias muy preocupantes identificadas a partir de la lista de sustancias sujetas a autorización que figura en el anexo XIV del Reglamento (CE) 1907/2006. </w:t>
      </w:r>
    </w:p>
    <w:p w14:paraId="0FC40D85" w14:textId="25251BD1"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Adoptarán medidas para reducir el ruido, el polvo y las emisiones contaminantes durante la fase de obra y se ejecutarán las actuaciones asociadas a esta medida cumpliendo la normativa vigente en cuanto la posible contaminación de suelos y agua. </w:t>
      </w:r>
    </w:p>
    <w:p w14:paraId="1B199AF8" w14:textId="11A4877B"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En </w:t>
      </w:r>
      <w:r w:rsidRPr="00BE6C24">
        <w:rPr>
          <w:rFonts w:ascii="Verdana" w:hAnsi="Verdana"/>
          <w:color w:val="FF0000"/>
          <w:sz w:val="22"/>
          <w:szCs w:val="22"/>
        </w:rPr>
        <w:t>aquellas actuaciones relativas a equipamiento e instalaciones e infraestructuras</w:t>
      </w:r>
      <w:r w:rsidR="00890FDF" w:rsidRPr="00BE6C24">
        <w:rPr>
          <w:rFonts w:ascii="Verdana" w:hAnsi="Verdana"/>
          <w:color w:val="FF0000"/>
          <w:sz w:val="22"/>
          <w:szCs w:val="22"/>
        </w:rPr>
        <w:t xml:space="preserve"> tecnológicas,</w:t>
      </w:r>
      <w:r w:rsidRPr="00BE6C24">
        <w:rPr>
          <w:rFonts w:ascii="Verdana" w:hAnsi="Verdana"/>
          <w:color w:val="FF0000"/>
          <w:sz w:val="22"/>
          <w:szCs w:val="22"/>
        </w:rPr>
        <w:t xml:space="preserve"> IT</w:t>
      </w:r>
      <w:r w:rsidRPr="00BE6C24">
        <w:rPr>
          <w:rFonts w:ascii="Verdana" w:hAnsi="Verdana"/>
          <w:sz w:val="22"/>
          <w:szCs w:val="22"/>
        </w:rPr>
        <w:t>, se garantizará que:</w:t>
      </w:r>
    </w:p>
    <w:p w14:paraId="4AB7CA8E" w14:textId="77777777"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Los equipos cumplan con los requisitos relacionados con el consumo energético y con la eficiencia de materiales establecidos en la Directiva 2009/125/EC del Parlamento Europeo y del Consejo de 21 de octubre de 2009 por la que se instaura un marco para el establecimiento de requisitos de diseño ecológico aplicables a los productos relacionados con la energía, para servidores y almacenamiento de datos, u ordenadores y servidores de ordenadores o pantallas electrónicas. </w:t>
      </w:r>
    </w:p>
    <w:p w14:paraId="2C2DADE5" w14:textId="77777777"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Los equipos no contengan las sustancias restringidas enumeradas en el anexo II de la Directiva 2011/65/UE del Parlamento Europeo y del Consejo de 8 de junio de 2011 sobre restricciones a la utilización de determinadas sustancias peligrosas en aparatos eléctricos y electrónicos, excepto cuando los valores </w:t>
      </w:r>
      <w:r w:rsidRPr="00BE6C24">
        <w:rPr>
          <w:rFonts w:ascii="Verdana" w:hAnsi="Verdana"/>
          <w:sz w:val="22"/>
          <w:szCs w:val="22"/>
        </w:rPr>
        <w:lastRenderedPageBreak/>
        <w:t xml:space="preserve">de concentración en peso en materiales homogéneos no superen los enumerados en dicho anexo. </w:t>
      </w:r>
    </w:p>
    <w:p w14:paraId="7692FF4D" w14:textId="3BA92E63"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En la instalación de las infraestructuras IT, se atienda a la versión más reciente del Código de conducta europeo sobre eficiencia energética de centros de datos, o en el documento CEN-CENELEC CLC TR50600-99-1 "Instalaciones e infraestructuras de centros de datos - Parte 99-1: Prácticas recomendadas para la gestión energética”. </w:t>
      </w:r>
    </w:p>
    <w:p w14:paraId="75BA0507" w14:textId="0DD36059"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Al final de su vida útil, el equipo se someta a una preparación para operaciones de reutilización, recuperación o reciclaje, o un tratamiento adecuado, incluida la eliminación de todos los fluidos y un tratamiento selectivo de acuerdo con el Anexo VII de la Directiva 2012/19/UE del Parlamento Europeo y del Consejo de 4 de julio de 2012 sobre residuos de aparatos eléctricos y electrónicos. </w:t>
      </w:r>
    </w:p>
    <w:p w14:paraId="3F6F05A1" w14:textId="5BC4853D"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Las instalaciones de infraestructuras IT no afecten negativamente a las buenas condiciones y la resiliencia de los ecosistemas ni al estado de conservación de los hábitats y las especies, en particular los espacios de interés de la Unión. Por ello cuando sea preceptivo, se realizará la Evaluación de Impacto medioambiental, de acuerdo con lo establecido en la Directiva 2011/92/EU. </w:t>
      </w:r>
    </w:p>
    <w:p w14:paraId="2137CD5A" w14:textId="0AC88726" w:rsidR="00263C61" w:rsidRDefault="006A6C3C" w:rsidP="00D31F7F">
      <w:pPr>
        <w:pStyle w:val="Default"/>
        <w:spacing w:before="120" w:after="120" w:line="276" w:lineRule="auto"/>
        <w:jc w:val="both"/>
        <w:rPr>
          <w:rFonts w:ascii="Verdana" w:hAnsi="Verdana"/>
          <w:b/>
          <w:bCs/>
          <w:sz w:val="22"/>
          <w:szCs w:val="22"/>
        </w:rPr>
      </w:pPr>
      <w:r>
        <w:rPr>
          <w:rFonts w:ascii="Verdana" w:hAnsi="Verdana"/>
          <w:b/>
          <w:bCs/>
          <w:sz w:val="22"/>
          <w:szCs w:val="22"/>
        </w:rPr>
        <w:t>Obligaciones del contratista respecto a la c</w:t>
      </w:r>
      <w:r w:rsidR="00263C61" w:rsidRPr="00BE6C24">
        <w:rPr>
          <w:rFonts w:ascii="Verdana" w:hAnsi="Verdana"/>
          <w:b/>
          <w:bCs/>
          <w:sz w:val="22"/>
          <w:szCs w:val="22"/>
        </w:rPr>
        <w:t xml:space="preserve">omunicación y publicidad de la financiación europea: </w:t>
      </w:r>
    </w:p>
    <w:p w14:paraId="49F567BD" w14:textId="7FAC760B" w:rsidR="006A6C3C" w:rsidRPr="00BE6C24" w:rsidRDefault="006A6C3C" w:rsidP="00D31F7F">
      <w:pPr>
        <w:pStyle w:val="Default"/>
        <w:spacing w:before="120" w:after="120" w:line="276" w:lineRule="auto"/>
        <w:jc w:val="both"/>
        <w:rPr>
          <w:rFonts w:ascii="Verdana" w:hAnsi="Verdana"/>
          <w:sz w:val="22"/>
          <w:szCs w:val="22"/>
        </w:rPr>
      </w:pPr>
      <w:r>
        <w:rPr>
          <w:rFonts w:ascii="Verdana" w:hAnsi="Verdana"/>
          <w:b/>
          <w:bCs/>
          <w:sz w:val="22"/>
          <w:szCs w:val="22"/>
        </w:rPr>
        <w:t>Se incluirá este apartado con el siguiente contenido:</w:t>
      </w:r>
    </w:p>
    <w:p w14:paraId="74CDC3B1" w14:textId="77777777"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En el caso de personas jurídicas, la entidad adjudicataria del contrato estará obligada a cumplir con las obligaciones de información y publicidad que las autoridades competentes establezcan relativas a la financiación del Mecanismo de Recuperación y Resiliencia. </w:t>
      </w:r>
    </w:p>
    <w:p w14:paraId="14D960E1" w14:textId="77777777" w:rsidR="00263C61" w:rsidRPr="00BE6C24" w:rsidRDefault="00263C61" w:rsidP="00D31F7F">
      <w:pPr>
        <w:pStyle w:val="Default"/>
        <w:spacing w:before="120" w:after="120" w:line="276" w:lineRule="auto"/>
        <w:jc w:val="both"/>
        <w:rPr>
          <w:rFonts w:ascii="Verdana" w:hAnsi="Verdana"/>
          <w:sz w:val="22"/>
          <w:szCs w:val="22"/>
        </w:rPr>
      </w:pPr>
      <w:r w:rsidRPr="00BE6C24">
        <w:rPr>
          <w:rFonts w:ascii="Verdana" w:hAnsi="Verdana"/>
          <w:sz w:val="22"/>
          <w:szCs w:val="22"/>
        </w:rPr>
        <w:t xml:space="preserve">En el caso de personas físicas, se podrá documentar mediante un modelo normalizado la toma de conocimiento de que la financiación a la que accede procede del Mecanismo de Recuperación y Resiliencia. </w:t>
      </w:r>
    </w:p>
    <w:p w14:paraId="7EAF5CE9" w14:textId="3387B053" w:rsidR="00765A48" w:rsidRPr="00BE6C24" w:rsidRDefault="00263C61" w:rsidP="00257E02">
      <w:pPr>
        <w:pStyle w:val="Default"/>
        <w:spacing w:before="120" w:after="120" w:line="276" w:lineRule="auto"/>
        <w:jc w:val="both"/>
        <w:rPr>
          <w:rFonts w:ascii="Verdana" w:hAnsi="Verdana"/>
          <w:sz w:val="22"/>
          <w:szCs w:val="22"/>
        </w:rPr>
      </w:pPr>
      <w:r w:rsidRPr="00BE6C24">
        <w:rPr>
          <w:rFonts w:ascii="Verdana" w:hAnsi="Verdana"/>
          <w:sz w:val="22"/>
          <w:szCs w:val="22"/>
        </w:rPr>
        <w:t xml:space="preserve">Los carteles informativos y placas deberán colocarse en un lugar bien visible y de acceso al público. </w:t>
      </w:r>
      <w:r w:rsidR="00257E02" w:rsidRPr="00BE6C24">
        <w:rPr>
          <w:rFonts w:ascii="Verdana" w:hAnsi="Verdana"/>
          <w:sz w:val="22"/>
          <w:szCs w:val="22"/>
        </w:rPr>
        <w:t>Deberá exhibirse el logo del PRTR y el</w:t>
      </w:r>
      <w:r w:rsidR="00765A48" w:rsidRPr="00BE6C24">
        <w:rPr>
          <w:rFonts w:ascii="Verdana" w:hAnsi="Verdana"/>
          <w:sz w:val="22"/>
          <w:szCs w:val="22"/>
        </w:rPr>
        <w:t xml:space="preserve"> emblema de la Unión</w:t>
      </w:r>
      <w:r w:rsidR="00257E02" w:rsidRPr="00BE6C24">
        <w:rPr>
          <w:rFonts w:ascii="Verdana" w:hAnsi="Verdana"/>
          <w:sz w:val="22"/>
          <w:szCs w:val="22"/>
        </w:rPr>
        <w:t xml:space="preserve"> Europea junto con el texto:</w:t>
      </w:r>
      <w:r w:rsidR="00765A48" w:rsidRPr="00BE6C24">
        <w:rPr>
          <w:rFonts w:ascii="Verdana" w:hAnsi="Verdana"/>
          <w:sz w:val="22"/>
          <w:szCs w:val="22"/>
        </w:rPr>
        <w:t xml:space="preserve"> “Financiado por la Unión Europea – </w:t>
      </w:r>
      <w:proofErr w:type="spellStart"/>
      <w:r w:rsidR="00765A48" w:rsidRPr="00BE6C24">
        <w:rPr>
          <w:rFonts w:ascii="Verdana" w:hAnsi="Verdana"/>
          <w:sz w:val="22"/>
          <w:szCs w:val="22"/>
        </w:rPr>
        <w:t>NextGenerationEU</w:t>
      </w:r>
      <w:proofErr w:type="spellEnd"/>
      <w:r w:rsidR="00765A48" w:rsidRPr="00BE6C24">
        <w:rPr>
          <w:rFonts w:ascii="Verdana" w:hAnsi="Verdana"/>
          <w:sz w:val="22"/>
          <w:szCs w:val="22"/>
        </w:rPr>
        <w:t>”</w:t>
      </w:r>
      <w:r w:rsidR="00257E02" w:rsidRPr="00BE6C24">
        <w:rPr>
          <w:rFonts w:ascii="Verdana" w:hAnsi="Verdana"/>
          <w:sz w:val="22"/>
          <w:szCs w:val="22"/>
        </w:rPr>
        <w:t xml:space="preserve"> que están disponibles </w:t>
      </w:r>
      <w:r w:rsidR="00500319" w:rsidRPr="00BE6C24">
        <w:rPr>
          <w:rFonts w:ascii="Verdana" w:hAnsi="Verdana"/>
          <w:sz w:val="22"/>
          <w:szCs w:val="22"/>
        </w:rPr>
        <w:t xml:space="preserve">en el link </w:t>
      </w:r>
      <w:hyperlink r:id="rId8" w:history="1">
        <w:r w:rsidR="00257E02" w:rsidRPr="00BE6C24">
          <w:rPr>
            <w:rStyle w:val="Hipervnculo"/>
            <w:rFonts w:ascii="Verdana" w:hAnsi="Verdana"/>
            <w:sz w:val="22"/>
            <w:szCs w:val="22"/>
          </w:rPr>
          <w:t>https://planderecuperacion.gob.es/identidad-visual</w:t>
        </w:r>
      </w:hyperlink>
      <w:r w:rsidR="00500319" w:rsidRPr="00BE6C24">
        <w:rPr>
          <w:rFonts w:ascii="Verdana" w:hAnsi="Verdana"/>
          <w:sz w:val="22"/>
          <w:szCs w:val="22"/>
        </w:rPr>
        <w:t>.</w:t>
      </w:r>
    </w:p>
    <w:p w14:paraId="28A50EC2" w14:textId="458D86B5" w:rsidR="00765A48" w:rsidRPr="00BE6C24" w:rsidRDefault="00765A48" w:rsidP="00D31F7F">
      <w:pPr>
        <w:pStyle w:val="Default"/>
        <w:spacing w:before="120" w:after="120" w:line="276" w:lineRule="auto"/>
        <w:jc w:val="both"/>
        <w:rPr>
          <w:rFonts w:ascii="Verdana" w:hAnsi="Verdana"/>
          <w:sz w:val="22"/>
          <w:szCs w:val="22"/>
        </w:rPr>
      </w:pPr>
    </w:p>
    <w:sectPr w:rsidR="00765A48" w:rsidRPr="00BE6C24">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88FAC2" w14:textId="77777777" w:rsidR="004C51DB" w:rsidRDefault="004C51DB" w:rsidP="0069077D">
      <w:pPr>
        <w:spacing w:after="0" w:line="240" w:lineRule="auto"/>
      </w:pPr>
      <w:r>
        <w:separator/>
      </w:r>
    </w:p>
  </w:endnote>
  <w:endnote w:type="continuationSeparator" w:id="0">
    <w:p w14:paraId="706DA210" w14:textId="77777777" w:rsidR="004C51DB" w:rsidRDefault="004C51DB" w:rsidP="00690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BDA45" w14:textId="77777777" w:rsidR="004C51DB" w:rsidRDefault="004C51DB" w:rsidP="0069077D">
      <w:pPr>
        <w:spacing w:after="0" w:line="240" w:lineRule="auto"/>
      </w:pPr>
      <w:r>
        <w:separator/>
      </w:r>
    </w:p>
  </w:footnote>
  <w:footnote w:type="continuationSeparator" w:id="0">
    <w:p w14:paraId="1A4D9F17" w14:textId="77777777" w:rsidR="004C51DB" w:rsidRDefault="004C51DB" w:rsidP="0069077D">
      <w:pPr>
        <w:spacing w:after="0" w:line="240" w:lineRule="auto"/>
      </w:pPr>
      <w:r>
        <w:continuationSeparator/>
      </w:r>
    </w:p>
  </w:footnote>
  <w:footnote w:id="1">
    <w:p w14:paraId="7627F129" w14:textId="671840A7" w:rsidR="00615AF8" w:rsidRPr="002E4D14" w:rsidRDefault="00615AF8" w:rsidP="002E4D14">
      <w:pPr>
        <w:jc w:val="both"/>
        <w:rPr>
          <w:rFonts w:ascii="Verdana" w:hAnsi="Verdana"/>
          <w:sz w:val="18"/>
          <w:szCs w:val="18"/>
        </w:rPr>
      </w:pPr>
      <w:r>
        <w:rPr>
          <w:rStyle w:val="Refdenotaalpie"/>
        </w:rPr>
        <w:footnoteRef/>
      </w:r>
      <w:r>
        <w:t xml:space="preserve"> </w:t>
      </w:r>
      <w:r w:rsidRPr="002E4D14">
        <w:rPr>
          <w:rFonts w:ascii="Verdana" w:hAnsi="Verdana"/>
          <w:sz w:val="18"/>
          <w:szCs w:val="18"/>
        </w:rPr>
        <w:t xml:space="preserve">Reglamento (UE) 2021/241 del Parlamento Europeo y del Consejo, de 12 de febrero de 2021, por el que se establece el Mecanismo de Recuperación y Resiliencia: </w:t>
      </w:r>
      <w:hyperlink r:id="rId1" w:history="1">
        <w:r w:rsidRPr="002E4D14">
          <w:rPr>
            <w:rStyle w:val="Hipervnculo"/>
            <w:rFonts w:ascii="Verdana" w:hAnsi="Verdana"/>
            <w:sz w:val="18"/>
            <w:szCs w:val="18"/>
          </w:rPr>
          <w:t>https://www.boe.es/doue/2021/057/L00017-00075.pdf</w:t>
        </w:r>
      </w:hyperlink>
    </w:p>
    <w:p w14:paraId="66DE4906" w14:textId="469832C0" w:rsidR="00615AF8" w:rsidRPr="00615AF8" w:rsidRDefault="002E4D14" w:rsidP="002E4D14">
      <w:pPr>
        <w:pStyle w:val="Textonotapie"/>
        <w:jc w:val="both"/>
        <w:rPr>
          <w:lang w:val="es-ES"/>
        </w:rPr>
      </w:pPr>
      <w:r w:rsidRPr="002E4D14">
        <w:rPr>
          <w:rFonts w:ascii="Verdana" w:hAnsi="Verdana"/>
          <w:sz w:val="18"/>
          <w:szCs w:val="18"/>
        </w:rPr>
        <w:t xml:space="preserve">Puede consultar la documentación el Componente en el que se enmarca este contrato en: </w:t>
      </w:r>
      <w:hyperlink r:id="rId2" w:history="1">
        <w:r w:rsidR="00615AF8" w:rsidRPr="002E4D14">
          <w:rPr>
            <w:rStyle w:val="Hipervnculo"/>
            <w:rFonts w:ascii="Verdana" w:hAnsi="Verdana"/>
            <w:sz w:val="18"/>
            <w:szCs w:val="18"/>
          </w:rPr>
          <w:t>Políticas palanca y componentes | Plan de Recuperación, Transformación y Resiliencia Gobierno de España. (planderecuperacion.gob.es)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6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8"/>
      <w:gridCol w:w="2466"/>
      <w:gridCol w:w="2693"/>
      <w:gridCol w:w="1886"/>
    </w:tblGrid>
    <w:tr w:rsidR="0069077D" w14:paraId="6407DA28" w14:textId="77777777" w:rsidTr="00E6295B">
      <w:trPr>
        <w:jc w:val="center"/>
      </w:trPr>
      <w:tc>
        <w:tcPr>
          <w:tcW w:w="2588" w:type="dxa"/>
          <w:vAlign w:val="center"/>
        </w:tcPr>
        <w:p w14:paraId="7B78E6B0" w14:textId="77777777" w:rsidR="0069077D" w:rsidRDefault="0069077D" w:rsidP="0069077D">
          <w:pPr>
            <w:pStyle w:val="Encabezado"/>
            <w:jc w:val="center"/>
            <w:rPr>
              <w:rFonts w:ascii="Arial Narrow" w:eastAsia="Arial Narrow" w:hAnsi="Arial Narrow"/>
              <w:b/>
              <w:noProof/>
            </w:rPr>
          </w:pPr>
          <w:bookmarkStart w:id="2" w:name="_Hlk93232260"/>
          <w:r w:rsidRPr="00C46AC5">
            <w:rPr>
              <w:rFonts w:ascii="Arial Narrow" w:hAnsi="Arial Narrow"/>
              <w:color w:val="FF0000"/>
              <w:sz w:val="16"/>
              <w:szCs w:val="16"/>
            </w:rPr>
            <w:t>Se incluirá además el logotipo de la Entidad decisora si así se establece en la convocatoria de la subvención</w:t>
          </w:r>
        </w:p>
      </w:tc>
      <w:tc>
        <w:tcPr>
          <w:tcW w:w="2466" w:type="dxa"/>
          <w:vAlign w:val="center"/>
        </w:tcPr>
        <w:p w14:paraId="6836F58E" w14:textId="77777777" w:rsidR="0069077D" w:rsidRDefault="0069077D" w:rsidP="0069077D">
          <w:pPr>
            <w:pStyle w:val="Encabezado"/>
            <w:jc w:val="center"/>
          </w:pPr>
          <w:r>
            <w:rPr>
              <w:rFonts w:ascii="Arial Narrow" w:eastAsia="Arial Narrow" w:hAnsi="Arial Narrow"/>
              <w:b/>
              <w:noProof/>
              <w:lang w:val="es-ES"/>
            </w:rPr>
            <w:drawing>
              <wp:inline distT="0" distB="0" distL="0" distR="0" wp14:anchorId="1C492007" wp14:editId="3C5E6ACF">
                <wp:extent cx="1087200" cy="612000"/>
                <wp:effectExtent l="0" t="0" r="0" b="0"/>
                <wp:docPr id="24" name="Imagen 2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Text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7200" cy="612000"/>
                        </a:xfrm>
                        <a:prstGeom prst="rect">
                          <a:avLst/>
                        </a:prstGeom>
                      </pic:spPr>
                    </pic:pic>
                  </a:graphicData>
                </a:graphic>
              </wp:inline>
            </w:drawing>
          </w:r>
        </w:p>
      </w:tc>
      <w:tc>
        <w:tcPr>
          <w:tcW w:w="2693" w:type="dxa"/>
          <w:vAlign w:val="bottom"/>
        </w:tcPr>
        <w:p w14:paraId="1F774019" w14:textId="77777777" w:rsidR="0069077D" w:rsidRDefault="0069077D" w:rsidP="0069077D">
          <w:pPr>
            <w:pStyle w:val="Encabezado"/>
            <w:jc w:val="center"/>
          </w:pPr>
          <w:r>
            <w:rPr>
              <w:noProof/>
              <w:lang w:val="es-ES"/>
            </w:rPr>
            <w:drawing>
              <wp:inline distT="0" distB="0" distL="0" distR="0" wp14:anchorId="0D345EDE" wp14:editId="2D28320E">
                <wp:extent cx="1512000" cy="601200"/>
                <wp:effectExtent l="0" t="0" r="0" b="8890"/>
                <wp:docPr id="15" name="Imagen 15"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magen que contiene Interfaz de usuario gráfica&#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12000" cy="601200"/>
                        </a:xfrm>
                        <a:prstGeom prst="rect">
                          <a:avLst/>
                        </a:prstGeom>
                      </pic:spPr>
                    </pic:pic>
                  </a:graphicData>
                </a:graphic>
              </wp:inline>
            </w:drawing>
          </w:r>
        </w:p>
      </w:tc>
      <w:tc>
        <w:tcPr>
          <w:tcW w:w="1886" w:type="dxa"/>
        </w:tcPr>
        <w:p w14:paraId="3CE2CE0F" w14:textId="77777777" w:rsidR="0069077D" w:rsidRDefault="0069077D" w:rsidP="0069077D">
          <w:pPr>
            <w:pStyle w:val="Encabezado"/>
            <w:jc w:val="center"/>
          </w:pPr>
          <w:r>
            <w:rPr>
              <w:noProof/>
              <w:lang w:val="es-ES"/>
            </w:rPr>
            <w:drawing>
              <wp:inline distT="0" distB="0" distL="0" distR="0" wp14:anchorId="7A1520E5" wp14:editId="179BDAEB">
                <wp:extent cx="957600" cy="720000"/>
                <wp:effectExtent l="0" t="0" r="0" b="4445"/>
                <wp:docPr id="21" name="Imagen 21" descr="Concurso para el logotipo conmemorativo del XX Aniversar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curso para el logotipo conmemorativo del XX Aniversario"/>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57600" cy="720000"/>
                        </a:xfrm>
                        <a:prstGeom prst="rect">
                          <a:avLst/>
                        </a:prstGeom>
                        <a:noFill/>
                        <a:ln>
                          <a:noFill/>
                        </a:ln>
                      </pic:spPr>
                    </pic:pic>
                  </a:graphicData>
                </a:graphic>
              </wp:inline>
            </w:drawing>
          </w:r>
        </w:p>
      </w:tc>
    </w:tr>
    <w:bookmarkEnd w:id="2"/>
  </w:tbl>
  <w:p w14:paraId="6BDD5796" w14:textId="77777777" w:rsidR="0069077D" w:rsidRDefault="0069077D">
    <w:pPr>
      <w:pStyle w:val="Encabezado"/>
    </w:pPr>
  </w:p>
  <w:p w14:paraId="269FF3C7" w14:textId="77777777" w:rsidR="0069077D" w:rsidRDefault="006907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FA1EE5"/>
    <w:multiLevelType w:val="hybridMultilevel"/>
    <w:tmpl w:val="D428ADD6"/>
    <w:lvl w:ilvl="0" w:tplc="E8A0C48E">
      <w:start w:val="2"/>
      <w:numFmt w:val="bullet"/>
      <w:lvlText w:val="-"/>
      <w:lvlJc w:val="left"/>
      <w:pPr>
        <w:ind w:left="360" w:hanging="360"/>
      </w:pPr>
      <w:rPr>
        <w:rFonts w:ascii="Verdana" w:eastAsiaTheme="minorHAnsi" w:hAnsi="Verdana"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 w15:restartNumberingAfterBreak="0">
    <w:nsid w:val="356029BD"/>
    <w:multiLevelType w:val="hybridMultilevel"/>
    <w:tmpl w:val="76EA829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70A03E7"/>
    <w:multiLevelType w:val="hybridMultilevel"/>
    <w:tmpl w:val="FBE673BE"/>
    <w:lvl w:ilvl="0" w:tplc="E8A0C48E">
      <w:start w:val="2"/>
      <w:numFmt w:val="bullet"/>
      <w:lvlText w:val="-"/>
      <w:lvlJc w:val="left"/>
      <w:pPr>
        <w:ind w:left="720" w:hanging="360"/>
      </w:pPr>
      <w:rPr>
        <w:rFonts w:ascii="Verdana" w:eastAsiaTheme="minorHAns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512534AF"/>
    <w:multiLevelType w:val="hybridMultilevel"/>
    <w:tmpl w:val="42423594"/>
    <w:lvl w:ilvl="0" w:tplc="271A9652">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5CBE268E"/>
    <w:multiLevelType w:val="hybridMultilevel"/>
    <w:tmpl w:val="82C405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4585FFF"/>
    <w:multiLevelType w:val="hybridMultilevel"/>
    <w:tmpl w:val="B8AC1E3A"/>
    <w:lvl w:ilvl="0" w:tplc="20FE1E24">
      <w:start w:val="2"/>
      <w:numFmt w:val="bullet"/>
      <w:lvlText w:val="-"/>
      <w:lvlJc w:val="left"/>
      <w:pPr>
        <w:ind w:left="720" w:hanging="360"/>
      </w:pPr>
      <w:rPr>
        <w:rFonts w:ascii="Verdana" w:eastAsiaTheme="minorHAnsi" w:hAnsi="Verdana"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66BD224C"/>
    <w:multiLevelType w:val="hybridMultilevel"/>
    <w:tmpl w:val="E0A2691A"/>
    <w:lvl w:ilvl="0" w:tplc="493AAE28">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72882104"/>
    <w:multiLevelType w:val="hybridMultilevel"/>
    <w:tmpl w:val="CD0CC4D6"/>
    <w:lvl w:ilvl="0" w:tplc="2F5A00AA">
      <w:start w:val="2"/>
      <w:numFmt w:val="bullet"/>
      <w:lvlText w:val="-"/>
      <w:lvlJc w:val="left"/>
      <w:pPr>
        <w:ind w:left="720" w:hanging="360"/>
      </w:pPr>
      <w:rPr>
        <w:rFonts w:ascii="Verdana" w:eastAsiaTheme="minorHAns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79F32505"/>
    <w:multiLevelType w:val="hybridMultilevel"/>
    <w:tmpl w:val="995270A0"/>
    <w:lvl w:ilvl="0" w:tplc="3864BC3A">
      <w:start w:val="1"/>
      <w:numFmt w:val="decimal"/>
      <w:lvlText w:val="%1."/>
      <w:lvlJc w:val="left"/>
      <w:pPr>
        <w:ind w:left="390" w:hanging="39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
  </w:num>
  <w:num w:numId="2">
    <w:abstractNumId w:val="7"/>
  </w:num>
  <w:num w:numId="3">
    <w:abstractNumId w:val="2"/>
  </w:num>
  <w:num w:numId="4">
    <w:abstractNumId w:val="0"/>
  </w:num>
  <w:num w:numId="5">
    <w:abstractNumId w:val="5"/>
  </w:num>
  <w:num w:numId="6">
    <w:abstractNumId w:val="3"/>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B85"/>
    <w:rsid w:val="00017EA0"/>
    <w:rsid w:val="000456A4"/>
    <w:rsid w:val="00114653"/>
    <w:rsid w:val="0025679E"/>
    <w:rsid w:val="00257E02"/>
    <w:rsid w:val="00263C61"/>
    <w:rsid w:val="002718A0"/>
    <w:rsid w:val="002B0C53"/>
    <w:rsid w:val="002C78A4"/>
    <w:rsid w:val="002E4D14"/>
    <w:rsid w:val="00330643"/>
    <w:rsid w:val="00332F5E"/>
    <w:rsid w:val="003C7FF3"/>
    <w:rsid w:val="00415557"/>
    <w:rsid w:val="004C51DB"/>
    <w:rsid w:val="00500319"/>
    <w:rsid w:val="00544F1D"/>
    <w:rsid w:val="0057244D"/>
    <w:rsid w:val="005B01A1"/>
    <w:rsid w:val="00615AF8"/>
    <w:rsid w:val="006358C8"/>
    <w:rsid w:val="0069077D"/>
    <w:rsid w:val="006A6C3C"/>
    <w:rsid w:val="00707CDF"/>
    <w:rsid w:val="00765A48"/>
    <w:rsid w:val="007736EE"/>
    <w:rsid w:val="00822C7C"/>
    <w:rsid w:val="00887381"/>
    <w:rsid w:val="0088783D"/>
    <w:rsid w:val="00890FDF"/>
    <w:rsid w:val="00943B85"/>
    <w:rsid w:val="009D2B57"/>
    <w:rsid w:val="009F6DB6"/>
    <w:rsid w:val="00A35C16"/>
    <w:rsid w:val="00A83994"/>
    <w:rsid w:val="00AC47F0"/>
    <w:rsid w:val="00AC67DF"/>
    <w:rsid w:val="00B425CE"/>
    <w:rsid w:val="00B45267"/>
    <w:rsid w:val="00BE6C24"/>
    <w:rsid w:val="00BF41E3"/>
    <w:rsid w:val="00C21A9E"/>
    <w:rsid w:val="00C32AFE"/>
    <w:rsid w:val="00C4681A"/>
    <w:rsid w:val="00CB4165"/>
    <w:rsid w:val="00CD401E"/>
    <w:rsid w:val="00D046AC"/>
    <w:rsid w:val="00D31F7F"/>
    <w:rsid w:val="00D61639"/>
    <w:rsid w:val="00DC387F"/>
    <w:rsid w:val="00E4656A"/>
    <w:rsid w:val="00E73997"/>
    <w:rsid w:val="00E955C0"/>
    <w:rsid w:val="00EA3922"/>
    <w:rsid w:val="00EE00A9"/>
    <w:rsid w:val="00EE02A0"/>
    <w:rsid w:val="00EE787B"/>
    <w:rsid w:val="00EE7A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11BF7"/>
  <w15:chartTrackingRefBased/>
  <w15:docId w15:val="{B0E22DD6-9D29-4BE6-80C1-86B3E6AD4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_tradnl"/>
    </w:rPr>
  </w:style>
  <w:style w:type="paragraph" w:styleId="Ttulo5">
    <w:name w:val="heading 5"/>
    <w:basedOn w:val="Normal"/>
    <w:link w:val="Ttulo5Car"/>
    <w:uiPriority w:val="9"/>
    <w:qFormat/>
    <w:rsid w:val="00E4656A"/>
    <w:pPr>
      <w:spacing w:before="100" w:beforeAutospacing="1" w:after="100" w:afterAutospacing="1" w:line="240" w:lineRule="auto"/>
      <w:outlineLvl w:val="4"/>
    </w:pPr>
    <w:rPr>
      <w:rFonts w:ascii="Times New Roman" w:eastAsia="Times New Roman" w:hAnsi="Times New Roman" w:cs="Times New Roman"/>
      <w:b/>
      <w:bCs/>
      <w:sz w:val="20"/>
      <w:szCs w:val="20"/>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43B85"/>
    <w:pPr>
      <w:autoSpaceDE w:val="0"/>
      <w:autoSpaceDN w:val="0"/>
      <w:adjustRightInd w:val="0"/>
      <w:spacing w:after="0" w:line="240" w:lineRule="auto"/>
    </w:pPr>
    <w:rPr>
      <w:rFonts w:ascii="Arial" w:hAnsi="Arial" w:cs="Arial"/>
      <w:color w:val="000000"/>
      <w:sz w:val="24"/>
      <w:szCs w:val="24"/>
      <w:lang w:val="es-ES_tradnl"/>
    </w:rPr>
  </w:style>
  <w:style w:type="character" w:styleId="Hipervnculo">
    <w:name w:val="Hyperlink"/>
    <w:basedOn w:val="Fuentedeprrafopredeter"/>
    <w:uiPriority w:val="99"/>
    <w:unhideWhenUsed/>
    <w:rsid w:val="00500319"/>
    <w:rPr>
      <w:color w:val="0563C1" w:themeColor="hyperlink"/>
      <w:u w:val="single"/>
    </w:rPr>
  </w:style>
  <w:style w:type="character" w:customStyle="1" w:styleId="Mencinsinresolver1">
    <w:name w:val="Mención sin resolver1"/>
    <w:basedOn w:val="Fuentedeprrafopredeter"/>
    <w:uiPriority w:val="99"/>
    <w:semiHidden/>
    <w:unhideWhenUsed/>
    <w:rsid w:val="00500319"/>
    <w:rPr>
      <w:color w:val="605E5C"/>
      <w:shd w:val="clear" w:color="auto" w:fill="E1DFDD"/>
    </w:rPr>
  </w:style>
  <w:style w:type="paragraph" w:customStyle="1" w:styleId="parrafo">
    <w:name w:val="parrafo"/>
    <w:basedOn w:val="Normal"/>
    <w:rsid w:val="00E955C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57244D"/>
    <w:rPr>
      <w:i/>
      <w:iCs/>
    </w:rPr>
  </w:style>
  <w:style w:type="character" w:customStyle="1" w:styleId="Ttulo5Car">
    <w:name w:val="Título 5 Car"/>
    <w:basedOn w:val="Fuentedeprrafopredeter"/>
    <w:link w:val="Ttulo5"/>
    <w:uiPriority w:val="9"/>
    <w:rsid w:val="00E4656A"/>
    <w:rPr>
      <w:rFonts w:ascii="Times New Roman" w:eastAsia="Times New Roman" w:hAnsi="Times New Roman" w:cs="Times New Roman"/>
      <w:b/>
      <w:bCs/>
      <w:sz w:val="20"/>
      <w:szCs w:val="20"/>
      <w:lang w:val="es-ES_tradnl" w:eastAsia="es-ES_tradnl"/>
    </w:rPr>
  </w:style>
  <w:style w:type="paragraph" w:customStyle="1" w:styleId="parrafo2">
    <w:name w:val="parrafo_2"/>
    <w:basedOn w:val="Normal"/>
    <w:rsid w:val="00E4656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notapie">
    <w:name w:val="nota_pie"/>
    <w:basedOn w:val="Normal"/>
    <w:rsid w:val="00E4656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styleId="z-Principiodelformulario">
    <w:name w:val="HTML Top of Form"/>
    <w:basedOn w:val="Normal"/>
    <w:next w:val="Normal"/>
    <w:link w:val="z-PrincipiodelformularioCar"/>
    <w:hidden/>
    <w:uiPriority w:val="99"/>
    <w:semiHidden/>
    <w:unhideWhenUsed/>
    <w:rsid w:val="00E4656A"/>
    <w:pPr>
      <w:pBdr>
        <w:bottom w:val="single" w:sz="6" w:space="1" w:color="auto"/>
      </w:pBdr>
      <w:spacing w:after="0" w:line="240" w:lineRule="auto"/>
      <w:jc w:val="center"/>
    </w:pPr>
    <w:rPr>
      <w:rFonts w:ascii="Arial" w:eastAsia="Times New Roman" w:hAnsi="Arial" w:cs="Arial"/>
      <w:vanish/>
      <w:sz w:val="16"/>
      <w:szCs w:val="16"/>
      <w:lang w:eastAsia="es-ES_tradnl"/>
    </w:rPr>
  </w:style>
  <w:style w:type="character" w:customStyle="1" w:styleId="z-PrincipiodelformularioCar">
    <w:name w:val="z-Principio del formulario Car"/>
    <w:basedOn w:val="Fuentedeprrafopredeter"/>
    <w:link w:val="z-Principiodelformulario"/>
    <w:uiPriority w:val="99"/>
    <w:semiHidden/>
    <w:rsid w:val="00E4656A"/>
    <w:rPr>
      <w:rFonts w:ascii="Arial" w:eastAsia="Times New Roman" w:hAnsi="Arial" w:cs="Arial"/>
      <w:vanish/>
      <w:sz w:val="16"/>
      <w:szCs w:val="16"/>
      <w:lang w:val="es-ES_tradnl" w:eastAsia="es-ES_tradnl"/>
    </w:rPr>
  </w:style>
  <w:style w:type="paragraph" w:styleId="NormalWeb">
    <w:name w:val="Normal (Web)"/>
    <w:basedOn w:val="Normal"/>
    <w:uiPriority w:val="99"/>
    <w:semiHidden/>
    <w:unhideWhenUsed/>
    <w:rsid w:val="00E4656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styleId="Textoennegrita">
    <w:name w:val="Strong"/>
    <w:basedOn w:val="Fuentedeprrafopredeter"/>
    <w:uiPriority w:val="22"/>
    <w:qFormat/>
    <w:rsid w:val="00E4656A"/>
    <w:rPr>
      <w:b/>
      <w:bCs/>
    </w:rPr>
  </w:style>
  <w:style w:type="paragraph" w:styleId="z-Finaldelformulario">
    <w:name w:val="HTML Bottom of Form"/>
    <w:basedOn w:val="Normal"/>
    <w:next w:val="Normal"/>
    <w:link w:val="z-FinaldelformularioCar"/>
    <w:hidden/>
    <w:uiPriority w:val="99"/>
    <w:semiHidden/>
    <w:unhideWhenUsed/>
    <w:rsid w:val="00E4656A"/>
    <w:pPr>
      <w:pBdr>
        <w:top w:val="single" w:sz="6" w:space="1" w:color="auto"/>
      </w:pBdr>
      <w:spacing w:after="0" w:line="240" w:lineRule="auto"/>
      <w:jc w:val="center"/>
    </w:pPr>
    <w:rPr>
      <w:rFonts w:ascii="Arial" w:eastAsia="Times New Roman" w:hAnsi="Arial" w:cs="Arial"/>
      <w:vanish/>
      <w:sz w:val="16"/>
      <w:szCs w:val="16"/>
      <w:lang w:eastAsia="es-ES_tradnl"/>
    </w:rPr>
  </w:style>
  <w:style w:type="character" w:customStyle="1" w:styleId="z-FinaldelformularioCar">
    <w:name w:val="z-Final del formulario Car"/>
    <w:basedOn w:val="Fuentedeprrafopredeter"/>
    <w:link w:val="z-Finaldelformulario"/>
    <w:uiPriority w:val="99"/>
    <w:semiHidden/>
    <w:rsid w:val="00E4656A"/>
    <w:rPr>
      <w:rFonts w:ascii="Arial" w:eastAsia="Times New Roman" w:hAnsi="Arial" w:cs="Arial"/>
      <w:vanish/>
      <w:sz w:val="16"/>
      <w:szCs w:val="16"/>
      <w:lang w:val="es-ES_tradnl" w:eastAsia="es-ES_tradnl"/>
    </w:rPr>
  </w:style>
  <w:style w:type="paragraph" w:customStyle="1" w:styleId="linksubir">
    <w:name w:val="linksubir"/>
    <w:basedOn w:val="Normal"/>
    <w:rsid w:val="00E4656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bloque">
    <w:name w:val="bloque"/>
    <w:basedOn w:val="Normal"/>
    <w:rsid w:val="00E4656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styleId="Prrafodelista">
    <w:name w:val="List Paragraph"/>
    <w:basedOn w:val="Normal"/>
    <w:uiPriority w:val="34"/>
    <w:qFormat/>
    <w:rsid w:val="00415557"/>
    <w:pPr>
      <w:ind w:left="720"/>
      <w:contextualSpacing/>
    </w:pPr>
  </w:style>
  <w:style w:type="paragraph" w:styleId="Encabezado">
    <w:name w:val="header"/>
    <w:basedOn w:val="Normal"/>
    <w:link w:val="EncabezadoCar"/>
    <w:uiPriority w:val="99"/>
    <w:unhideWhenUsed/>
    <w:rsid w:val="006907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9077D"/>
    <w:rPr>
      <w:lang w:val="es-ES_tradnl"/>
    </w:rPr>
  </w:style>
  <w:style w:type="paragraph" w:styleId="Piedepgina">
    <w:name w:val="footer"/>
    <w:basedOn w:val="Normal"/>
    <w:link w:val="PiedepginaCar"/>
    <w:uiPriority w:val="99"/>
    <w:unhideWhenUsed/>
    <w:rsid w:val="0069077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9077D"/>
    <w:rPr>
      <w:lang w:val="es-ES_tradnl"/>
    </w:rPr>
  </w:style>
  <w:style w:type="table" w:styleId="Tablaconcuadrcula">
    <w:name w:val="Table Grid"/>
    <w:basedOn w:val="Tablanormal"/>
    <w:rsid w:val="0069077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615AF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15AF8"/>
    <w:rPr>
      <w:sz w:val="20"/>
      <w:szCs w:val="20"/>
      <w:lang w:val="es-ES_tradnl"/>
    </w:rPr>
  </w:style>
  <w:style w:type="character" w:styleId="Refdenotaalpie">
    <w:name w:val="footnote reference"/>
    <w:basedOn w:val="Fuentedeprrafopredeter"/>
    <w:uiPriority w:val="99"/>
    <w:semiHidden/>
    <w:unhideWhenUsed/>
    <w:rsid w:val="00615AF8"/>
    <w:rPr>
      <w:vertAlign w:val="superscript"/>
    </w:rPr>
  </w:style>
  <w:style w:type="character" w:styleId="Mencinsinresolver">
    <w:name w:val="Unresolved Mention"/>
    <w:basedOn w:val="Fuentedeprrafopredeter"/>
    <w:uiPriority w:val="99"/>
    <w:semiHidden/>
    <w:unhideWhenUsed/>
    <w:rsid w:val="0061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011817">
      <w:bodyDiv w:val="1"/>
      <w:marLeft w:val="0"/>
      <w:marRight w:val="0"/>
      <w:marTop w:val="0"/>
      <w:marBottom w:val="0"/>
      <w:divBdr>
        <w:top w:val="none" w:sz="0" w:space="0" w:color="auto"/>
        <w:left w:val="none" w:sz="0" w:space="0" w:color="auto"/>
        <w:bottom w:val="none" w:sz="0" w:space="0" w:color="auto"/>
        <w:right w:val="none" w:sz="0" w:space="0" w:color="auto"/>
      </w:divBdr>
    </w:div>
    <w:div w:id="1697152096">
      <w:bodyDiv w:val="1"/>
      <w:marLeft w:val="0"/>
      <w:marRight w:val="0"/>
      <w:marTop w:val="0"/>
      <w:marBottom w:val="0"/>
      <w:divBdr>
        <w:top w:val="none" w:sz="0" w:space="0" w:color="auto"/>
        <w:left w:val="none" w:sz="0" w:space="0" w:color="auto"/>
        <w:bottom w:val="none" w:sz="0" w:space="0" w:color="auto"/>
        <w:right w:val="none" w:sz="0" w:space="0" w:color="auto"/>
      </w:divBdr>
      <w:divsChild>
        <w:div w:id="605698653">
          <w:marLeft w:val="0"/>
          <w:marRight w:val="0"/>
          <w:marTop w:val="0"/>
          <w:marBottom w:val="0"/>
          <w:divBdr>
            <w:top w:val="none" w:sz="0" w:space="0" w:color="auto"/>
            <w:left w:val="none" w:sz="0" w:space="0" w:color="auto"/>
            <w:bottom w:val="none" w:sz="0" w:space="0" w:color="auto"/>
            <w:right w:val="none" w:sz="0" w:space="0" w:color="auto"/>
          </w:divBdr>
          <w:divsChild>
            <w:div w:id="540558432">
              <w:blockQuote w:val="1"/>
              <w:marLeft w:val="0"/>
              <w:marRight w:val="0"/>
              <w:marTop w:val="240"/>
              <w:marBottom w:val="240"/>
              <w:divBdr>
                <w:top w:val="single" w:sz="6" w:space="12" w:color="DDDDDD"/>
                <w:left w:val="single" w:sz="6" w:space="24" w:color="DDDDDD"/>
                <w:bottom w:val="single" w:sz="6" w:space="18" w:color="DDDDDD"/>
                <w:right w:val="single" w:sz="6" w:space="24" w:color="DDDDDD"/>
              </w:divBdr>
            </w:div>
          </w:divsChild>
        </w:div>
        <w:div w:id="214515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nderecuperacion.gob.es/identidad-visua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planderecuperacion.gob.es/politicas-y-componentes" TargetMode="External"/><Relationship Id="rId1" Type="http://schemas.openxmlformats.org/officeDocument/2006/relationships/hyperlink" Target="https://www.boe.es/doue/2021/057/L00017-00075.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FEBC7-2434-403E-99BA-5E70E8B4D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8</Pages>
  <Words>3068</Words>
  <Characters>16875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MARGARITA BARRIO MOZO</cp:lastModifiedBy>
  <cp:revision>5</cp:revision>
  <dcterms:created xsi:type="dcterms:W3CDTF">2022-04-01T08:13:00Z</dcterms:created>
  <dcterms:modified xsi:type="dcterms:W3CDTF">2024-09-02T09:56:00Z</dcterms:modified>
</cp:coreProperties>
</file>