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BFD" w:rsidRPr="00036BFD" w:rsidRDefault="00036BFD" w:rsidP="00036BFD">
      <w:pPr>
        <w:jc w:val="center"/>
        <w:rPr>
          <w:rFonts w:ascii="Arial Narrow" w:eastAsia="Calibri" w:hAnsi="Arial Narrow" w:cs="Times New Roman"/>
          <w:b/>
        </w:rPr>
      </w:pPr>
      <w:bookmarkStart w:id="0" w:name="Anexo4"/>
      <w:r w:rsidRPr="00036BFD">
        <w:rPr>
          <w:rFonts w:ascii="Arial Narrow" w:eastAsia="Calibri" w:hAnsi="Arial Narrow" w:cs="Times New Roman"/>
          <w:b/>
        </w:rPr>
        <w:t xml:space="preserve">ANEXO IV </w:t>
      </w:r>
      <w:bookmarkEnd w:id="0"/>
      <w:r w:rsidRPr="00036BFD">
        <w:rPr>
          <w:rFonts w:ascii="Arial Narrow" w:eastAsia="Calibri" w:hAnsi="Arial Narrow" w:cs="Times New Roman"/>
          <w:b/>
        </w:rPr>
        <w:t xml:space="preserve">RESOLUCIÓN DE ADJUDICACIÓN </w:t>
      </w:r>
    </w:p>
    <w:p w:rsidR="00036BFD" w:rsidRPr="007A2D13" w:rsidRDefault="00036BFD" w:rsidP="00036BFD">
      <w:pPr>
        <w:jc w:val="center"/>
        <w:rPr>
          <w:rFonts w:ascii="Arial Narrow" w:eastAsia="Calibri" w:hAnsi="Arial Narrow" w:cs="Times New Roman"/>
          <w:b/>
          <w:color w:val="002060"/>
        </w:rPr>
      </w:pPr>
      <w:r w:rsidRPr="007A2D13">
        <w:rPr>
          <w:rFonts w:ascii="Arial Narrow" w:eastAsia="Calibri" w:hAnsi="Arial Narrow" w:cs="Times New Roman"/>
          <w:color w:val="002060"/>
        </w:rPr>
        <w:t xml:space="preserve">(Contratos basados en acuerdos marco de importe </w:t>
      </w:r>
      <w:r w:rsidR="00292FDE">
        <w:rPr>
          <w:rFonts w:ascii="Arial Narrow" w:eastAsia="Calibri" w:hAnsi="Arial Narrow" w:cs="Times New Roman"/>
          <w:color w:val="002060"/>
        </w:rPr>
        <w:t xml:space="preserve">igual o </w:t>
      </w:r>
      <w:r w:rsidRPr="007A2D13">
        <w:rPr>
          <w:rFonts w:ascii="Arial Narrow" w:eastAsia="Calibri" w:hAnsi="Arial Narrow" w:cs="Times New Roman"/>
          <w:color w:val="002060"/>
        </w:rPr>
        <w:t>superior a 15.000,00 euros</w:t>
      </w:r>
      <w:r w:rsidR="00292FDE">
        <w:rPr>
          <w:rFonts w:ascii="Arial Narrow" w:eastAsia="Calibri" w:hAnsi="Arial Narrow" w:cs="Times New Roman"/>
          <w:color w:val="002060"/>
        </w:rPr>
        <w:t>, IVA excluido</w:t>
      </w:r>
      <w:r w:rsidRPr="007A2D13">
        <w:rPr>
          <w:rFonts w:ascii="Arial Narrow" w:eastAsia="Calibri" w:hAnsi="Arial Narrow" w:cs="Times New Roman"/>
          <w:color w:val="002060"/>
        </w:rPr>
        <w:t>)</w:t>
      </w:r>
    </w:p>
    <w:p w:rsidR="00036BFD" w:rsidRPr="00036BFD" w:rsidRDefault="00036BFD" w:rsidP="00036BFD">
      <w:pPr>
        <w:jc w:val="center"/>
        <w:rPr>
          <w:rFonts w:ascii="Arial Narrow" w:eastAsia="Calibri" w:hAnsi="Arial Narrow" w:cs="Times New Roman"/>
        </w:rPr>
      </w:pPr>
    </w:p>
    <w:tbl>
      <w:tblPr>
        <w:tblStyle w:val="Tablaconcuadrcula"/>
        <w:tblW w:w="0" w:type="auto"/>
        <w:tblLook w:val="04A0" w:firstRow="1" w:lastRow="0" w:firstColumn="1" w:lastColumn="0" w:noHBand="0" w:noVBand="1"/>
      </w:tblPr>
      <w:tblGrid>
        <w:gridCol w:w="2547"/>
        <w:gridCol w:w="1982"/>
        <w:gridCol w:w="1982"/>
        <w:gridCol w:w="1983"/>
      </w:tblGrid>
      <w:tr w:rsidR="00036BFD" w:rsidRPr="00036BFD" w:rsidTr="00DE1682">
        <w:tc>
          <w:tcPr>
            <w:tcW w:w="2547"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Expediente nº:</w:t>
            </w:r>
          </w:p>
        </w:tc>
        <w:tc>
          <w:tcPr>
            <w:tcW w:w="5947" w:type="dxa"/>
            <w:gridSpan w:val="3"/>
          </w:tcPr>
          <w:p w:rsidR="00036BFD" w:rsidRPr="00036BFD" w:rsidRDefault="00036BFD" w:rsidP="00036BFD">
            <w:pPr>
              <w:contextualSpacing/>
              <w:jc w:val="both"/>
              <w:rPr>
                <w:rFonts w:ascii="Arial Narrow" w:eastAsia="Calibri" w:hAnsi="Arial Narrow" w:cs="Times New Roman"/>
                <w:b/>
              </w:rPr>
            </w:pPr>
          </w:p>
        </w:tc>
      </w:tr>
      <w:tr w:rsidR="00036BFD" w:rsidRPr="00036BFD" w:rsidTr="00DE1682">
        <w:tc>
          <w:tcPr>
            <w:tcW w:w="2547"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 xml:space="preserve">Acuerdo Marco: </w:t>
            </w:r>
          </w:p>
        </w:tc>
        <w:tc>
          <w:tcPr>
            <w:tcW w:w="5947" w:type="dxa"/>
            <w:gridSpan w:val="3"/>
          </w:tcPr>
          <w:p w:rsidR="00036BFD" w:rsidRPr="00036BFD" w:rsidRDefault="00036BFD" w:rsidP="00036BFD">
            <w:pPr>
              <w:contextualSpacing/>
              <w:jc w:val="both"/>
              <w:rPr>
                <w:rFonts w:ascii="Arial Narrow" w:eastAsia="Calibri" w:hAnsi="Arial Narrow" w:cs="Times New Roman"/>
                <w:b/>
              </w:rPr>
            </w:pPr>
          </w:p>
        </w:tc>
      </w:tr>
      <w:tr w:rsidR="00036BFD" w:rsidRPr="00036BFD" w:rsidTr="00DE1682">
        <w:tc>
          <w:tcPr>
            <w:tcW w:w="2547"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 xml:space="preserve">Lote del Acuerdo marco: </w:t>
            </w:r>
          </w:p>
        </w:tc>
        <w:tc>
          <w:tcPr>
            <w:tcW w:w="5947" w:type="dxa"/>
            <w:gridSpan w:val="3"/>
          </w:tcPr>
          <w:p w:rsidR="00036BFD" w:rsidRPr="00036BFD" w:rsidRDefault="00036BFD" w:rsidP="00036BFD">
            <w:pPr>
              <w:contextualSpacing/>
              <w:jc w:val="both"/>
              <w:rPr>
                <w:rFonts w:ascii="Arial Narrow" w:eastAsia="Calibri" w:hAnsi="Arial Narrow" w:cs="Times New Roman"/>
                <w:b/>
              </w:rPr>
            </w:pPr>
          </w:p>
        </w:tc>
      </w:tr>
      <w:tr w:rsidR="00036BFD" w:rsidRPr="00036BFD" w:rsidTr="00DE1682">
        <w:tc>
          <w:tcPr>
            <w:tcW w:w="2547"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Denominación del contrato</w:t>
            </w:r>
          </w:p>
        </w:tc>
        <w:tc>
          <w:tcPr>
            <w:tcW w:w="5947" w:type="dxa"/>
            <w:gridSpan w:val="3"/>
          </w:tcPr>
          <w:p w:rsidR="00036BFD" w:rsidRPr="00036BFD" w:rsidRDefault="00036BFD" w:rsidP="00036BFD">
            <w:pPr>
              <w:contextualSpacing/>
              <w:jc w:val="both"/>
              <w:rPr>
                <w:rFonts w:ascii="Arial Narrow" w:eastAsia="Calibri" w:hAnsi="Arial Narrow" w:cs="Times New Roman"/>
                <w:b/>
              </w:rPr>
            </w:pPr>
          </w:p>
        </w:tc>
      </w:tr>
      <w:tr w:rsidR="00036BFD" w:rsidRPr="00036BFD" w:rsidTr="00DE1682">
        <w:tc>
          <w:tcPr>
            <w:tcW w:w="2547"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Presupuesto del contrato</w:t>
            </w:r>
          </w:p>
        </w:tc>
        <w:tc>
          <w:tcPr>
            <w:tcW w:w="1982"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BI:</w:t>
            </w:r>
          </w:p>
        </w:tc>
        <w:tc>
          <w:tcPr>
            <w:tcW w:w="1982"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IVA:</w:t>
            </w:r>
          </w:p>
        </w:tc>
        <w:tc>
          <w:tcPr>
            <w:tcW w:w="1983"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Total:</w:t>
            </w:r>
          </w:p>
        </w:tc>
      </w:tr>
    </w:tbl>
    <w:p w:rsidR="00036BFD" w:rsidRPr="00036BFD" w:rsidRDefault="00036BFD" w:rsidP="00036BFD">
      <w:pPr>
        <w:spacing w:before="8" w:line="276" w:lineRule="auto"/>
        <w:rPr>
          <w:rFonts w:ascii="Arial Narrow" w:eastAsia="Arial Narrow" w:hAnsi="Arial Narrow" w:cs="Times New Roman"/>
          <w:b/>
        </w:rPr>
      </w:pPr>
    </w:p>
    <w:p w:rsidR="00036BFD" w:rsidRPr="00036BFD" w:rsidRDefault="00036BFD" w:rsidP="00036BFD">
      <w:pPr>
        <w:widowControl w:val="0"/>
        <w:spacing w:after="240" w:line="240" w:lineRule="auto"/>
        <w:jc w:val="both"/>
        <w:rPr>
          <w:rFonts w:ascii="Arial Narrow" w:eastAsia="Arial Narrow" w:hAnsi="Arial Narrow" w:cs="Times New Roman"/>
        </w:rPr>
      </w:pPr>
      <w:r w:rsidRPr="00036BFD">
        <w:rPr>
          <w:rFonts w:ascii="Arial Narrow" w:eastAsia="Arial Narrow" w:hAnsi="Arial Narrow" w:cs="Times New Roman"/>
        </w:rPr>
        <w:t>Emitida propuesta de adjudicación motivada:</w:t>
      </w:r>
    </w:p>
    <w:p w:rsidR="00036BFD" w:rsidRPr="007A2D13" w:rsidRDefault="00036BFD" w:rsidP="00036BFD">
      <w:pPr>
        <w:widowControl w:val="0"/>
        <w:spacing w:after="240" w:line="240" w:lineRule="auto"/>
        <w:jc w:val="both"/>
        <w:rPr>
          <w:rFonts w:ascii="Arial Narrow" w:eastAsia="Arial Narrow" w:hAnsi="Arial Narrow" w:cs="Times New Roman"/>
          <w:color w:val="002060"/>
        </w:rPr>
      </w:pPr>
      <w:r w:rsidRPr="007A2D13">
        <w:rPr>
          <w:rFonts w:ascii="Arial Narrow" w:eastAsia="Arial Narrow" w:hAnsi="Arial Narrow" w:cs="Times New Roman"/>
          <w:color w:val="002060"/>
        </w:rPr>
        <w:t xml:space="preserve">- en el acta de la mesa de contratación de fecha XXXXXXXXX y publicada en la licitación celebrada a través de la Plataforma de Contratación del Sector Público, </w:t>
      </w:r>
    </w:p>
    <w:p w:rsidR="00036BFD" w:rsidRPr="007A2D13" w:rsidRDefault="00036BFD" w:rsidP="00036BFD">
      <w:pPr>
        <w:widowControl w:val="0"/>
        <w:spacing w:after="240" w:line="240" w:lineRule="auto"/>
        <w:jc w:val="both"/>
        <w:rPr>
          <w:rFonts w:ascii="Arial Narrow" w:eastAsia="Arial Narrow" w:hAnsi="Arial Narrow" w:cs="Times New Roman"/>
          <w:color w:val="002060"/>
        </w:rPr>
      </w:pPr>
      <w:r w:rsidRPr="007A2D13">
        <w:rPr>
          <w:rFonts w:ascii="Arial Narrow" w:eastAsia="Arial Narrow" w:hAnsi="Arial Narrow" w:cs="Times New Roman"/>
          <w:color w:val="002060"/>
        </w:rPr>
        <w:t xml:space="preserve">- en el Anexo IIIB de la licitación </w:t>
      </w:r>
      <w:r w:rsidRPr="007A2D13">
        <w:rPr>
          <w:rFonts w:ascii="Arial Narrow" w:eastAsia="Arial Narrow" w:hAnsi="Arial Narrow" w:cs="Times New Roman"/>
          <w:b/>
          <w:color w:val="002060"/>
        </w:rPr>
        <w:t>que se adjunta a esta Resolución</w:t>
      </w:r>
    </w:p>
    <w:p w:rsidR="00036BFD" w:rsidRPr="007A2D13" w:rsidRDefault="00036BFD" w:rsidP="00036BFD">
      <w:pPr>
        <w:widowControl w:val="0"/>
        <w:spacing w:after="240" w:line="240" w:lineRule="auto"/>
        <w:jc w:val="both"/>
        <w:rPr>
          <w:rFonts w:ascii="Arial Narrow" w:eastAsia="Arial Narrow" w:hAnsi="Arial Narrow" w:cs="Times New Roman"/>
          <w:color w:val="002060"/>
        </w:rPr>
      </w:pPr>
      <w:r w:rsidRPr="00036BFD">
        <w:rPr>
          <w:rFonts w:ascii="Arial Narrow" w:eastAsia="Arial Narrow" w:hAnsi="Arial Narrow" w:cs="Times New Roman"/>
        </w:rPr>
        <w:t xml:space="preserve">En uso de las competencias atribuidas al Rectorado por el artículo 199 de los Estatutos de la Universidad Complutense de Madrid, aprobados por el Decreto 32/2017 del Consejo de Gobierno de la Comunidad de Madrid de 21 de marzo de 2017 (BOCM de 24 de marzo de 2017) y en uso de las atribuciones que me han sido delegadas por el </w:t>
      </w:r>
      <w:r w:rsidR="000865FD" w:rsidRPr="000865FD">
        <w:rPr>
          <w:rFonts w:ascii="Arial Narrow" w:eastAsia="Arial Narrow" w:hAnsi="Arial Narrow" w:cs="Times New Roman"/>
        </w:rPr>
        <w:t>Decreto Rectoral 28/2023, de 28 de junio, de establecimiento de los Vicerrectorados de la Universidad Complutense de Madrid, de delegación de competencias y de diversas cuestiones de índole organizativo (BOCM de fecha 10 de julio de 2023)</w:t>
      </w:r>
      <w:r w:rsidR="00815B91">
        <w:rPr>
          <w:rFonts w:ascii="Arial Narrow" w:eastAsia="Arial Narrow" w:hAnsi="Arial Narrow" w:cs="Times New Roman"/>
        </w:rPr>
        <w:t xml:space="preserve"> </w:t>
      </w:r>
      <w:r w:rsidRPr="00036BFD">
        <w:rPr>
          <w:rFonts w:ascii="Arial Narrow" w:eastAsia="Arial Narrow" w:hAnsi="Arial Narrow" w:cs="Times New Roman"/>
        </w:rPr>
        <w:t xml:space="preserve">previa fiscalización favorable por la Intervención de la Universidad el </w:t>
      </w:r>
      <w:r w:rsidRPr="007A2D13">
        <w:rPr>
          <w:rFonts w:ascii="Arial Narrow" w:eastAsia="Arial Narrow" w:hAnsi="Arial Narrow" w:cs="Times New Roman"/>
          <w:color w:val="002060"/>
        </w:rPr>
        <w:t>XXXXXXXX.</w:t>
      </w:r>
    </w:p>
    <w:p w:rsidR="00036BFD" w:rsidRPr="00036BFD" w:rsidRDefault="00036BFD" w:rsidP="00036BFD">
      <w:pPr>
        <w:jc w:val="both"/>
        <w:rPr>
          <w:rFonts w:ascii="Arial Narrow" w:eastAsia="Calibri" w:hAnsi="Arial Narrow" w:cs="Arial"/>
        </w:rPr>
      </w:pPr>
      <w:r w:rsidRPr="00036BFD">
        <w:rPr>
          <w:rFonts w:ascii="Arial Narrow" w:eastAsia="Calibri" w:hAnsi="Arial Narrow" w:cs="Arial"/>
        </w:rPr>
        <w:t>En virtud de lo que establece el artículo 151 d</w:t>
      </w:r>
      <w:r w:rsidRPr="00036BFD">
        <w:rPr>
          <w:rFonts w:ascii="Arial Narrow" w:eastAsia="Calibri" w:hAnsi="Arial Narrow" w:cs="Arial Narrow"/>
        </w:rPr>
        <w:t>e la Ley 9/2017 de Contratos del Sector Público</w:t>
      </w:r>
      <w:r w:rsidRPr="00036BFD">
        <w:rPr>
          <w:rFonts w:ascii="Arial Narrow" w:eastAsia="Calibri" w:hAnsi="Arial Narrow" w:cs="Arial"/>
        </w:rPr>
        <w:t>, y demás disposiciones de aplicación,</w:t>
      </w:r>
    </w:p>
    <w:p w:rsidR="00036BFD" w:rsidRPr="00036BFD" w:rsidRDefault="00036BFD" w:rsidP="00036BFD">
      <w:pPr>
        <w:spacing w:before="8" w:line="276" w:lineRule="auto"/>
        <w:jc w:val="both"/>
        <w:rPr>
          <w:rFonts w:ascii="Arial Narrow" w:eastAsia="Arial Narrow" w:hAnsi="Arial Narrow" w:cs="Times New Roman"/>
        </w:rPr>
      </w:pPr>
      <w:r w:rsidRPr="00036BFD">
        <w:rPr>
          <w:rFonts w:ascii="Arial Narrow" w:eastAsia="Arial Narrow" w:hAnsi="Arial Narrow" w:cs="Times New Roman"/>
          <w:b/>
        </w:rPr>
        <w:t>RESUELVO:</w:t>
      </w:r>
      <w:r w:rsidRPr="00036BFD">
        <w:rPr>
          <w:rFonts w:ascii="Arial Narrow" w:eastAsia="Arial Narrow" w:hAnsi="Arial Narrow" w:cs="Times New Roman"/>
        </w:rPr>
        <w:t xml:space="preserve"> Adjudicar el contrato de suministro a </w:t>
      </w:r>
    </w:p>
    <w:p w:rsidR="00036BFD" w:rsidRPr="007A2D13" w:rsidRDefault="00036BFD" w:rsidP="00036BFD">
      <w:pPr>
        <w:spacing w:before="240" w:line="276" w:lineRule="auto"/>
        <w:rPr>
          <w:rFonts w:ascii="Arial Narrow" w:eastAsia="Calibri" w:hAnsi="Arial Narrow" w:cs="Times New Roman"/>
          <w:color w:val="002060"/>
        </w:rPr>
      </w:pPr>
      <w:r w:rsidRPr="00036BFD">
        <w:rPr>
          <w:rFonts w:ascii="Arial Narrow" w:eastAsia="Calibri" w:hAnsi="Arial Narrow" w:cs="Times New Roman"/>
        </w:rPr>
        <w:t xml:space="preserve">CIF: </w:t>
      </w:r>
      <w:r w:rsidRPr="007A2D13">
        <w:rPr>
          <w:rFonts w:ascii="Arial Narrow" w:eastAsia="Calibri" w:hAnsi="Arial Narrow" w:cs="Times New Roman"/>
          <w:color w:val="002060"/>
        </w:rPr>
        <w:t>XXXXXXXXXX</w:t>
      </w:r>
    </w:p>
    <w:p w:rsidR="00036BFD" w:rsidRPr="007A2D13" w:rsidRDefault="00036BFD" w:rsidP="00036BFD">
      <w:pPr>
        <w:rPr>
          <w:rFonts w:ascii="Arial Narrow" w:eastAsia="Calibri" w:hAnsi="Arial Narrow" w:cs="Times New Roman"/>
          <w:color w:val="002060"/>
        </w:rPr>
      </w:pPr>
      <w:r w:rsidRPr="00036BFD">
        <w:rPr>
          <w:rFonts w:ascii="Arial Narrow" w:eastAsia="Calibri" w:hAnsi="Arial Narrow" w:cs="Times New Roman"/>
        </w:rPr>
        <w:t xml:space="preserve">DENOMINACIÓN DE LA SOCIEDAD: </w:t>
      </w:r>
      <w:r w:rsidRPr="007A2D13">
        <w:rPr>
          <w:rFonts w:ascii="Arial Narrow" w:eastAsia="Calibri" w:hAnsi="Arial Narrow" w:cs="Times New Roman"/>
          <w:color w:val="002060"/>
        </w:rPr>
        <w:t>XXXXXXXXXXXXXXXX</w:t>
      </w:r>
    </w:p>
    <w:p w:rsidR="00036BFD" w:rsidRPr="00036BFD" w:rsidRDefault="00036BFD" w:rsidP="00036BFD">
      <w:pPr>
        <w:rPr>
          <w:rFonts w:ascii="Arial Narrow" w:eastAsia="Calibri" w:hAnsi="Arial Narrow" w:cs="Times New Roman"/>
        </w:rPr>
      </w:pPr>
      <w:r w:rsidRPr="00036BFD">
        <w:rPr>
          <w:rFonts w:ascii="Arial Narrow" w:eastAsia="Calibri" w:hAnsi="Arial Narrow" w:cs="Times New Roman"/>
        </w:rPr>
        <w:t>Por el siguiente importe:</w:t>
      </w:r>
    </w:p>
    <w:p w:rsidR="00036BFD" w:rsidRPr="007A2D13" w:rsidRDefault="00036BFD" w:rsidP="00036BFD">
      <w:pPr>
        <w:ind w:left="708"/>
        <w:rPr>
          <w:rFonts w:ascii="Arial Narrow" w:eastAsia="Calibri" w:hAnsi="Arial Narrow" w:cs="Times New Roman"/>
          <w:color w:val="002060"/>
        </w:rPr>
      </w:pPr>
      <w:r w:rsidRPr="00036BFD">
        <w:rPr>
          <w:rFonts w:ascii="Arial Narrow" w:eastAsia="Calibri" w:hAnsi="Arial Narrow" w:cs="Times New Roman"/>
        </w:rPr>
        <w:t xml:space="preserve">Base imponible: </w:t>
      </w:r>
      <w:r w:rsidRPr="007A2D13">
        <w:rPr>
          <w:rFonts w:ascii="Arial Narrow" w:eastAsia="Calibri" w:hAnsi="Arial Narrow" w:cs="Times New Roman"/>
          <w:color w:val="002060"/>
        </w:rPr>
        <w:t>XXXXXX</w:t>
      </w:r>
    </w:p>
    <w:p w:rsidR="00036BFD" w:rsidRPr="007A2D13" w:rsidRDefault="00036BFD" w:rsidP="00036BFD">
      <w:pPr>
        <w:ind w:left="708"/>
        <w:rPr>
          <w:rFonts w:ascii="Arial Narrow" w:eastAsia="Calibri" w:hAnsi="Arial Narrow" w:cs="Times New Roman"/>
          <w:color w:val="002060"/>
        </w:rPr>
      </w:pPr>
      <w:r w:rsidRPr="00036BFD">
        <w:rPr>
          <w:rFonts w:ascii="Arial Narrow" w:eastAsia="Calibri" w:hAnsi="Arial Narrow" w:cs="Times New Roman"/>
        </w:rPr>
        <w:t xml:space="preserve">IVA: </w:t>
      </w:r>
      <w:r w:rsidRPr="007A2D13">
        <w:rPr>
          <w:rFonts w:ascii="Arial Narrow" w:eastAsia="Calibri" w:hAnsi="Arial Narrow" w:cs="Times New Roman"/>
          <w:color w:val="002060"/>
        </w:rPr>
        <w:t>XXXXXX</w:t>
      </w:r>
    </w:p>
    <w:p w:rsidR="00036BFD" w:rsidRPr="007A2D13" w:rsidRDefault="00036BFD" w:rsidP="00036BFD">
      <w:pPr>
        <w:spacing w:before="8" w:line="276" w:lineRule="auto"/>
        <w:ind w:left="708"/>
        <w:rPr>
          <w:rFonts w:ascii="Arial Narrow" w:eastAsia="Arial Narrow" w:hAnsi="Arial Narrow" w:cs="Times New Roman"/>
          <w:b/>
          <w:color w:val="002060"/>
        </w:rPr>
      </w:pPr>
      <w:r w:rsidRPr="00036BFD">
        <w:rPr>
          <w:rFonts w:ascii="Arial Narrow" w:eastAsia="Calibri" w:hAnsi="Arial Narrow" w:cs="Times New Roman"/>
        </w:rPr>
        <w:t xml:space="preserve">Total: </w:t>
      </w:r>
      <w:r w:rsidRPr="007A2D13">
        <w:rPr>
          <w:rFonts w:ascii="Arial Narrow" w:eastAsia="Calibri" w:hAnsi="Arial Narrow" w:cs="Times New Roman"/>
          <w:color w:val="002060"/>
        </w:rPr>
        <w:t>XXXXXXX</w:t>
      </w:r>
      <w:r w:rsidRPr="007A2D13">
        <w:rPr>
          <w:rFonts w:ascii="Arial Narrow" w:eastAsia="Arial Narrow" w:hAnsi="Arial Narrow" w:cs="Times New Roman"/>
          <w:b/>
          <w:color w:val="002060"/>
        </w:rPr>
        <w:t xml:space="preserve"> </w:t>
      </w:r>
    </w:p>
    <w:p w:rsidR="00036BFD" w:rsidRPr="00036BFD" w:rsidRDefault="00036BFD" w:rsidP="00036BFD">
      <w:pPr>
        <w:spacing w:before="8" w:line="276" w:lineRule="auto"/>
        <w:jc w:val="both"/>
        <w:rPr>
          <w:rFonts w:ascii="Arial Narrow" w:eastAsia="Arial Narrow" w:hAnsi="Arial Narrow" w:cs="Times New Roman"/>
        </w:rPr>
      </w:pPr>
    </w:p>
    <w:p w:rsidR="00036BFD" w:rsidRPr="00036BFD" w:rsidRDefault="00036BFD" w:rsidP="00036BFD">
      <w:pPr>
        <w:spacing w:before="8" w:line="276" w:lineRule="auto"/>
        <w:jc w:val="both"/>
        <w:rPr>
          <w:rFonts w:ascii="Arial Narrow" w:eastAsia="Arial Narrow" w:hAnsi="Arial Narrow" w:cs="Times New Roman"/>
        </w:rPr>
      </w:pPr>
      <w:r w:rsidRPr="00036BFD">
        <w:rPr>
          <w:rFonts w:ascii="Arial Narrow" w:eastAsia="Arial Narrow" w:hAnsi="Arial Narrow" w:cs="Times New Roman"/>
        </w:rPr>
        <w:t>Esta Resolución deberá comunicarse a todos los licitadores.</w:t>
      </w:r>
    </w:p>
    <w:p w:rsidR="00036BFD" w:rsidRPr="00036BFD" w:rsidRDefault="00036BFD" w:rsidP="00036BFD">
      <w:pPr>
        <w:spacing w:before="8" w:line="276" w:lineRule="auto"/>
        <w:jc w:val="both"/>
        <w:rPr>
          <w:rFonts w:ascii="Arial Narrow" w:eastAsia="Arial Narrow" w:hAnsi="Arial Narrow" w:cs="Times New Roman"/>
        </w:rPr>
      </w:pPr>
      <w:r w:rsidRPr="00036BFD">
        <w:rPr>
          <w:rFonts w:ascii="Arial Narrow" w:eastAsia="Arial Narrow" w:hAnsi="Arial Narrow" w:cs="Times New Roman"/>
        </w:rPr>
        <w:t xml:space="preserve">Contra esta resolución, que pone fin a la vía administrativa, cabe interponer recurso contencioso-administrativo ante el Juzgado de lo Contencioso-Administrativo, en el plazo de dos meses contados desde el día siguiente a su notificación. No obstante, y sin perjuicio de que pueda ejercitar cualquier otro que se </w:t>
      </w:r>
      <w:r w:rsidRPr="00036BFD">
        <w:rPr>
          <w:rFonts w:ascii="Arial Narrow" w:eastAsia="Arial Narrow" w:hAnsi="Arial Narrow" w:cs="Times New Roman"/>
        </w:rPr>
        <w:lastRenderedPageBreak/>
        <w:t>estime procedente, el interesado puede optar por interponer contra la misma, con carácter potestativo, recurso especial en materia de contratación ante el Tribunal Administrativo de Contratación Pública de la Comunidad de Madrid, en el plazo de 15 días hábiles, contados a partir del siguiente a aquel en que se remita la notificación de la presente adjudicación a los licitadores y candidatos en el procedimiento.</w:t>
      </w:r>
    </w:p>
    <w:p w:rsidR="003F742F" w:rsidRPr="004907BC" w:rsidRDefault="003F742F" w:rsidP="003F742F">
      <w:pPr>
        <w:spacing w:after="0"/>
        <w:jc w:val="center"/>
        <w:rPr>
          <w:rFonts w:ascii="Arial Narrow" w:eastAsia="Arial Narrow" w:hAnsi="Arial Narrow"/>
          <w:szCs w:val="24"/>
        </w:rPr>
      </w:pPr>
      <w:r w:rsidRPr="004907BC">
        <w:rPr>
          <w:rFonts w:ascii="Arial Narrow" w:eastAsia="Arial Narrow" w:hAnsi="Arial Narrow"/>
          <w:szCs w:val="24"/>
        </w:rPr>
        <w:t>EL RECTOR,</w:t>
      </w:r>
    </w:p>
    <w:p w:rsidR="003F742F" w:rsidRPr="004907BC" w:rsidRDefault="003F742F" w:rsidP="003F742F">
      <w:pPr>
        <w:spacing w:after="0"/>
        <w:jc w:val="center"/>
        <w:rPr>
          <w:rFonts w:ascii="Arial Narrow" w:eastAsia="Arial Narrow" w:hAnsi="Arial Narrow"/>
          <w:szCs w:val="24"/>
        </w:rPr>
      </w:pPr>
      <w:r w:rsidRPr="004907BC">
        <w:rPr>
          <w:rFonts w:ascii="Arial Narrow" w:eastAsia="Arial Narrow" w:hAnsi="Arial Narrow"/>
          <w:szCs w:val="24"/>
        </w:rPr>
        <w:t>P.D. LA GERENTE,</w:t>
      </w:r>
    </w:p>
    <w:p w:rsidR="003F742F" w:rsidRPr="004907BC" w:rsidRDefault="003F742F" w:rsidP="003F742F">
      <w:pPr>
        <w:shd w:val="clear" w:color="auto" w:fill="FFFFFF"/>
        <w:spacing w:after="0"/>
        <w:jc w:val="center"/>
        <w:rPr>
          <w:rFonts w:ascii="Arial Narrow" w:hAnsi="Arial Narrow" w:cs="Calibri"/>
          <w:color w:val="222222"/>
          <w:szCs w:val="24"/>
        </w:rPr>
      </w:pPr>
      <w:r w:rsidRPr="004907BC">
        <w:rPr>
          <w:rFonts w:ascii="Arial Narrow" w:hAnsi="Arial Narrow" w:cs="Calibri"/>
          <w:color w:val="222222"/>
          <w:szCs w:val="24"/>
        </w:rPr>
        <w:t>(Decreto Rectoral 28/2023, de 28 de junio</w:t>
      </w:r>
      <w:r w:rsidRPr="004907BC">
        <w:rPr>
          <w:rFonts w:ascii="Arial Narrow" w:hAnsi="Arial Narrow" w:cs="Calibri"/>
          <w:color w:val="1A1A1A"/>
          <w:szCs w:val="24"/>
        </w:rPr>
        <w:t>, BOCM de 10 de julio</w:t>
      </w:r>
      <w:r w:rsidRPr="004907BC">
        <w:rPr>
          <w:rFonts w:ascii="Arial Narrow" w:hAnsi="Arial Narrow" w:cs="Calibri"/>
          <w:color w:val="222222"/>
          <w:szCs w:val="24"/>
        </w:rPr>
        <w:t>)</w:t>
      </w:r>
    </w:p>
    <w:p w:rsidR="003F742F" w:rsidRDefault="003F742F" w:rsidP="003F742F">
      <w:pPr>
        <w:shd w:val="clear" w:color="auto" w:fill="FFFFFF"/>
        <w:spacing w:after="0"/>
        <w:jc w:val="center"/>
        <w:rPr>
          <w:rFonts w:ascii="Arial Narrow" w:hAnsi="Arial Narrow" w:cs="Calibri"/>
          <w:color w:val="222222"/>
          <w:szCs w:val="24"/>
        </w:rPr>
      </w:pPr>
      <w:r w:rsidRPr="004907BC">
        <w:rPr>
          <w:rFonts w:ascii="Arial Narrow" w:hAnsi="Arial Narrow" w:cs="Calibri"/>
          <w:color w:val="222222"/>
          <w:szCs w:val="24"/>
        </w:rPr>
        <w:t>P.D.F. </w:t>
      </w:r>
      <w:r>
        <w:rPr>
          <w:rFonts w:ascii="Arial Narrow" w:hAnsi="Arial Narrow" w:cs="Calibri"/>
          <w:color w:val="222222"/>
          <w:szCs w:val="24"/>
        </w:rPr>
        <w:t>EL VICEGERENTE DE CONTRATACIÓN ADMINISTRATIVA</w:t>
      </w:r>
    </w:p>
    <w:p w:rsidR="003F742F" w:rsidRDefault="003F742F" w:rsidP="003F742F">
      <w:pPr>
        <w:shd w:val="clear" w:color="auto" w:fill="FFFFFF"/>
        <w:spacing w:after="0"/>
        <w:jc w:val="center"/>
        <w:rPr>
          <w:rFonts w:ascii="Arial Narrow" w:hAnsi="Arial Narrow" w:cs="Calibri"/>
          <w:color w:val="222222"/>
          <w:szCs w:val="24"/>
        </w:rPr>
      </w:pPr>
      <w:r>
        <w:rPr>
          <w:rFonts w:ascii="Arial Narrow" w:hAnsi="Arial Narrow" w:cs="Calibri"/>
          <w:color w:val="222222"/>
          <w:szCs w:val="24"/>
        </w:rPr>
        <w:t>(Resolución de 14 de septiembre de 2023)</w:t>
      </w:r>
    </w:p>
    <w:p w:rsidR="005D7328" w:rsidRDefault="003F742F">
      <w:bookmarkStart w:id="1" w:name="_GoBack"/>
      <w:bookmarkEnd w:id="1"/>
    </w:p>
    <w:sectPr w:rsidR="005D732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AF" w:rsidRDefault="00310CAF" w:rsidP="00310CAF">
      <w:pPr>
        <w:spacing w:after="0" w:line="240" w:lineRule="auto"/>
      </w:pPr>
      <w:r>
        <w:separator/>
      </w:r>
    </w:p>
  </w:endnote>
  <w:endnote w:type="continuationSeparator" w:id="0">
    <w:p w:rsidR="00310CAF" w:rsidRDefault="00310CAF" w:rsidP="0031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AF" w:rsidRDefault="00310CAF" w:rsidP="00310CAF">
      <w:pPr>
        <w:spacing w:after="0" w:line="240" w:lineRule="auto"/>
      </w:pPr>
      <w:r>
        <w:separator/>
      </w:r>
    </w:p>
  </w:footnote>
  <w:footnote w:type="continuationSeparator" w:id="0">
    <w:p w:rsidR="00310CAF" w:rsidRDefault="00310CAF" w:rsidP="0031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CAF" w:rsidRDefault="00310CAF">
    <w:pPr>
      <w:pStyle w:val="Encabezado"/>
    </w:pPr>
    <w:r>
      <w:rPr>
        <w:noProof/>
        <w:lang w:eastAsia="es-ES"/>
      </w:rPr>
      <w:drawing>
        <wp:anchor distT="0" distB="0" distL="114300" distR="114300" simplePos="0" relativeHeight="251659264" behindDoc="0" locked="0" layoutInCell="1" allowOverlap="1" wp14:anchorId="21431A67" wp14:editId="2658AF92">
          <wp:simplePos x="0" y="0"/>
          <wp:positionH relativeFrom="column">
            <wp:posOffset>-753284</wp:posOffset>
          </wp:positionH>
          <wp:positionV relativeFrom="paragraph">
            <wp:posOffset>-277726</wp:posOffset>
          </wp:positionV>
          <wp:extent cx="1714500" cy="1253490"/>
          <wp:effectExtent l="0" t="0" r="0" b="3810"/>
          <wp:wrapSquare wrapText="right"/>
          <wp:docPr id="11" name="Imagen 11" descr="http://www.ucm.es/cont/descargas/documento6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m.es/cont/descargas/documento658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1253490"/>
                  </a:xfrm>
                  <a:prstGeom prst="rect">
                    <a:avLst/>
                  </a:prstGeom>
                  <a:noFill/>
                </pic:spPr>
              </pic:pic>
            </a:graphicData>
          </a:graphic>
          <wp14:sizeRelH relativeFrom="page">
            <wp14:pctWidth>0</wp14:pctWidth>
          </wp14:sizeRelH>
          <wp14:sizeRelV relativeFrom="page">
            <wp14:pctHeight>0</wp14:pctHeight>
          </wp14:sizeRelV>
        </wp:anchor>
      </w:drawing>
    </w:r>
  </w:p>
  <w:p w:rsidR="00310CAF" w:rsidRDefault="00310CAF">
    <w:pPr>
      <w:pStyle w:val="Encabezado"/>
    </w:pPr>
  </w:p>
  <w:p w:rsidR="00310CAF" w:rsidRDefault="00310CAF">
    <w:pPr>
      <w:pStyle w:val="Encabezado"/>
    </w:pPr>
  </w:p>
  <w:p w:rsidR="00310CAF" w:rsidRDefault="00310CAF">
    <w:pPr>
      <w:pStyle w:val="Encabezado"/>
    </w:pPr>
  </w:p>
  <w:p w:rsidR="00310CAF" w:rsidRDefault="00310CAF">
    <w:pPr>
      <w:pStyle w:val="Encabezado"/>
    </w:pPr>
  </w:p>
  <w:p w:rsidR="00310CAF" w:rsidRDefault="00310CAF">
    <w:pPr>
      <w:pStyle w:val="Encabezado"/>
    </w:pPr>
  </w:p>
  <w:p w:rsidR="00310CAF" w:rsidRDefault="00310CAF">
    <w:pPr>
      <w:pStyle w:val="Encabezado"/>
    </w:pPr>
  </w:p>
  <w:p w:rsidR="00310CAF" w:rsidRDefault="00310C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BFD"/>
    <w:rsid w:val="00036BFD"/>
    <w:rsid w:val="000865FD"/>
    <w:rsid w:val="0013468C"/>
    <w:rsid w:val="001D3033"/>
    <w:rsid w:val="002415DA"/>
    <w:rsid w:val="00292FDE"/>
    <w:rsid w:val="00310CAF"/>
    <w:rsid w:val="003F742F"/>
    <w:rsid w:val="005643B3"/>
    <w:rsid w:val="00794429"/>
    <w:rsid w:val="007A2D13"/>
    <w:rsid w:val="00815B91"/>
    <w:rsid w:val="009C7593"/>
    <w:rsid w:val="009D66D8"/>
    <w:rsid w:val="00B034BE"/>
    <w:rsid w:val="00C32A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F510E-39CD-4423-8B78-F2006EDD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0C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0CAF"/>
  </w:style>
  <w:style w:type="paragraph" w:styleId="Piedepgina">
    <w:name w:val="footer"/>
    <w:basedOn w:val="Normal"/>
    <w:link w:val="PiedepginaCar"/>
    <w:uiPriority w:val="99"/>
    <w:unhideWhenUsed/>
    <w:rsid w:val="00310C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ucm.es/cont/descargas/documento658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14</cp:revision>
  <dcterms:created xsi:type="dcterms:W3CDTF">2023-01-24T10:27:00Z</dcterms:created>
  <dcterms:modified xsi:type="dcterms:W3CDTF">2023-09-20T09:36:00Z</dcterms:modified>
</cp:coreProperties>
</file>