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7BF" w:rsidRDefault="00961597" w:rsidP="00631281">
      <w:pPr>
        <w:jc w:val="center"/>
        <w:rPr>
          <w:rFonts w:ascii="Tahoma" w:hAnsi="Tahoma" w:cs="Tahoma"/>
          <w:b/>
          <w:sz w:val="32"/>
          <w:szCs w:val="26"/>
          <w:u w:val="single"/>
        </w:rPr>
      </w:pPr>
      <w:bookmarkStart w:id="0" w:name="_GoBack"/>
      <w:bookmarkEnd w:id="0"/>
      <w:r>
        <w:rPr>
          <w:rFonts w:ascii="Tahoma" w:hAnsi="Tahoma" w:cs="Tahoma"/>
          <w:b/>
          <w:sz w:val="32"/>
          <w:szCs w:val="26"/>
          <w:u w:val="single"/>
        </w:rPr>
        <w:t>M</w:t>
      </w:r>
      <w:r w:rsidR="00D537BF" w:rsidRPr="00D537BF">
        <w:rPr>
          <w:rFonts w:ascii="Tahoma" w:hAnsi="Tahoma" w:cs="Tahoma"/>
          <w:b/>
          <w:sz w:val="32"/>
          <w:szCs w:val="26"/>
          <w:u w:val="single"/>
        </w:rPr>
        <w:t>emoria curso 2019-20</w:t>
      </w:r>
    </w:p>
    <w:p w:rsidR="00631281" w:rsidRPr="00D537BF" w:rsidRDefault="00631281" w:rsidP="00631281">
      <w:pPr>
        <w:jc w:val="center"/>
        <w:rPr>
          <w:rFonts w:ascii="Tahoma" w:hAnsi="Tahoma" w:cs="Tahoma"/>
          <w:b/>
          <w:sz w:val="32"/>
          <w:szCs w:val="26"/>
          <w:u w:val="single"/>
        </w:rPr>
      </w:pPr>
      <w:r>
        <w:rPr>
          <w:rFonts w:ascii="Tahoma" w:hAnsi="Tahoma" w:cs="Tahoma"/>
          <w:b/>
          <w:sz w:val="32"/>
          <w:szCs w:val="26"/>
          <w:u w:val="single"/>
        </w:rPr>
        <w:t>(Vicerrectorado de Política Económica)</w:t>
      </w:r>
    </w:p>
    <w:p w:rsidR="00826373" w:rsidRDefault="00826373" w:rsidP="00826373">
      <w:pPr>
        <w:jc w:val="both"/>
        <w:rPr>
          <w:rFonts w:ascii="Tahoma" w:hAnsi="Tahoma" w:cs="Tahoma"/>
          <w:sz w:val="26"/>
          <w:szCs w:val="26"/>
        </w:rPr>
      </w:pPr>
      <w:r w:rsidRPr="00A34CEC">
        <w:rPr>
          <w:rFonts w:ascii="Tahoma" w:hAnsi="Tahoma" w:cs="Tahoma"/>
          <w:sz w:val="26"/>
          <w:szCs w:val="26"/>
        </w:rPr>
        <w:t xml:space="preserve">La Universidad </w:t>
      </w:r>
      <w:r w:rsidR="00290DA7">
        <w:rPr>
          <w:rFonts w:ascii="Tahoma" w:hAnsi="Tahoma" w:cs="Tahoma"/>
          <w:sz w:val="26"/>
          <w:szCs w:val="26"/>
        </w:rPr>
        <w:t>inició</w:t>
      </w:r>
      <w:r w:rsidRPr="00A34CEC">
        <w:rPr>
          <w:rFonts w:ascii="Tahoma" w:hAnsi="Tahoma" w:cs="Tahoma"/>
          <w:sz w:val="26"/>
          <w:szCs w:val="26"/>
        </w:rPr>
        <w:t xml:space="preserve"> el año 2020 con su presupuesto anual aprobado por sus Órganos de Gobierno </w:t>
      </w:r>
      <w:r>
        <w:rPr>
          <w:rFonts w:ascii="Tahoma" w:hAnsi="Tahoma" w:cs="Tahoma"/>
          <w:sz w:val="26"/>
          <w:szCs w:val="26"/>
        </w:rPr>
        <w:t xml:space="preserve">(Consejo de Gobierno y Consejo Social) </w:t>
      </w:r>
      <w:r w:rsidRPr="00A34CEC">
        <w:rPr>
          <w:rFonts w:ascii="Tahoma" w:hAnsi="Tahoma" w:cs="Tahoma"/>
          <w:sz w:val="26"/>
          <w:szCs w:val="26"/>
        </w:rPr>
        <w:t>en el pasado mes de diciembre</w:t>
      </w:r>
      <w:r>
        <w:rPr>
          <w:rFonts w:ascii="Tahoma" w:hAnsi="Tahoma" w:cs="Tahoma"/>
          <w:sz w:val="26"/>
          <w:szCs w:val="26"/>
        </w:rPr>
        <w:t xml:space="preserve"> de 2019</w:t>
      </w:r>
      <w:r w:rsidRPr="00A34CEC">
        <w:rPr>
          <w:rFonts w:ascii="Tahoma" w:hAnsi="Tahoma" w:cs="Tahoma"/>
          <w:sz w:val="26"/>
          <w:szCs w:val="26"/>
        </w:rPr>
        <w:t>.</w:t>
      </w:r>
      <w:r>
        <w:rPr>
          <w:rFonts w:ascii="Tahoma" w:hAnsi="Tahoma" w:cs="Tahoma"/>
          <w:sz w:val="26"/>
          <w:szCs w:val="26"/>
        </w:rPr>
        <w:t xml:space="preserve"> </w:t>
      </w:r>
    </w:p>
    <w:p w:rsidR="00826373" w:rsidRDefault="00826373" w:rsidP="00826373">
      <w:pPr>
        <w:jc w:val="both"/>
        <w:rPr>
          <w:rFonts w:ascii="Tahoma" w:hAnsi="Tahoma" w:cs="Tahoma"/>
          <w:sz w:val="26"/>
          <w:szCs w:val="26"/>
        </w:rPr>
      </w:pPr>
      <w:r>
        <w:rPr>
          <w:rFonts w:ascii="Tahoma" w:hAnsi="Tahoma" w:cs="Tahoma"/>
          <w:sz w:val="26"/>
          <w:szCs w:val="26"/>
        </w:rPr>
        <w:t xml:space="preserve">Es un presupuesto que </w:t>
      </w:r>
      <w:r w:rsidRPr="00A34CEC">
        <w:rPr>
          <w:rFonts w:ascii="Tahoma" w:hAnsi="Tahoma" w:cs="Tahoma"/>
          <w:sz w:val="26"/>
          <w:szCs w:val="26"/>
        </w:rPr>
        <w:t>asciende a 566,6 millones de euros, un 3,3% sup</w:t>
      </w:r>
      <w:r>
        <w:rPr>
          <w:rFonts w:ascii="Tahoma" w:hAnsi="Tahoma" w:cs="Tahoma"/>
          <w:sz w:val="26"/>
          <w:szCs w:val="26"/>
        </w:rPr>
        <w:t xml:space="preserve">erior al del ejercicio anterior, </w:t>
      </w:r>
      <w:r w:rsidR="00290DA7">
        <w:rPr>
          <w:rFonts w:ascii="Tahoma" w:hAnsi="Tahoma" w:cs="Tahoma"/>
          <w:sz w:val="26"/>
          <w:szCs w:val="26"/>
        </w:rPr>
        <w:t xml:space="preserve">reflejando </w:t>
      </w:r>
      <w:r w:rsidR="007D7839">
        <w:rPr>
          <w:rFonts w:ascii="Tahoma" w:hAnsi="Tahoma" w:cs="Tahoma"/>
          <w:sz w:val="26"/>
          <w:szCs w:val="26"/>
        </w:rPr>
        <w:t>un</w:t>
      </w:r>
      <w:r w:rsidRPr="002326C2">
        <w:rPr>
          <w:rFonts w:ascii="Tahoma" w:hAnsi="Tahoma" w:cs="Tahoma"/>
          <w:sz w:val="26"/>
          <w:szCs w:val="26"/>
        </w:rPr>
        <w:t xml:space="preserve"> incremento de retribuciones del personal al servicio de la Universidad </w:t>
      </w:r>
      <w:r w:rsidR="007D7839">
        <w:rPr>
          <w:rFonts w:ascii="Tahoma" w:hAnsi="Tahoma" w:cs="Tahoma"/>
          <w:sz w:val="26"/>
          <w:szCs w:val="26"/>
        </w:rPr>
        <w:t>del</w:t>
      </w:r>
      <w:r w:rsidRPr="002326C2">
        <w:rPr>
          <w:rFonts w:ascii="Tahoma" w:hAnsi="Tahoma" w:cs="Tahoma"/>
          <w:sz w:val="26"/>
          <w:szCs w:val="26"/>
        </w:rPr>
        <w:t xml:space="preserve"> 2%</w:t>
      </w:r>
      <w:r>
        <w:rPr>
          <w:rFonts w:ascii="Tahoma" w:hAnsi="Tahoma" w:cs="Tahoma"/>
          <w:sz w:val="26"/>
          <w:szCs w:val="26"/>
        </w:rPr>
        <w:t xml:space="preserve"> y al </w:t>
      </w:r>
      <w:r w:rsidRPr="002326C2">
        <w:rPr>
          <w:rFonts w:ascii="Tahoma" w:hAnsi="Tahoma" w:cs="Tahoma"/>
          <w:sz w:val="26"/>
          <w:szCs w:val="26"/>
        </w:rPr>
        <w:t>que</w:t>
      </w:r>
      <w:r>
        <w:rPr>
          <w:rFonts w:ascii="Tahoma" w:hAnsi="Tahoma" w:cs="Tahoma"/>
          <w:sz w:val="26"/>
          <w:szCs w:val="26"/>
        </w:rPr>
        <w:t xml:space="preserve"> </w:t>
      </w:r>
      <w:r w:rsidRPr="002326C2">
        <w:rPr>
          <w:rFonts w:ascii="Tahoma" w:hAnsi="Tahoma" w:cs="Tahoma"/>
          <w:sz w:val="26"/>
          <w:szCs w:val="26"/>
        </w:rPr>
        <w:t>se ha acompañado la totalidad de la información</w:t>
      </w:r>
      <w:r>
        <w:rPr>
          <w:rFonts w:ascii="Tahoma" w:hAnsi="Tahoma" w:cs="Tahoma"/>
          <w:sz w:val="26"/>
          <w:szCs w:val="26"/>
        </w:rPr>
        <w:t xml:space="preserve"> que establece la normativa y en concreto </w:t>
      </w:r>
      <w:r w:rsidRPr="003A31F0">
        <w:rPr>
          <w:rFonts w:ascii="Tahoma" w:hAnsi="Tahoma" w:cs="Tahoma"/>
          <w:sz w:val="26"/>
          <w:szCs w:val="26"/>
        </w:rPr>
        <w:t xml:space="preserve">la </w:t>
      </w:r>
      <w:r>
        <w:rPr>
          <w:rFonts w:ascii="Tahoma" w:hAnsi="Tahoma" w:cs="Tahoma"/>
          <w:sz w:val="26"/>
          <w:szCs w:val="26"/>
        </w:rPr>
        <w:t xml:space="preserve">plantilla y </w:t>
      </w:r>
      <w:r w:rsidRPr="003A31F0">
        <w:rPr>
          <w:rFonts w:ascii="Tahoma" w:hAnsi="Tahoma" w:cs="Tahoma"/>
          <w:sz w:val="26"/>
          <w:szCs w:val="26"/>
        </w:rPr>
        <w:t>relación de puestos de trabajo del</w:t>
      </w:r>
      <w:r>
        <w:rPr>
          <w:rFonts w:ascii="Tahoma" w:hAnsi="Tahoma" w:cs="Tahoma"/>
          <w:sz w:val="26"/>
          <w:szCs w:val="26"/>
        </w:rPr>
        <w:t xml:space="preserve"> </w:t>
      </w:r>
      <w:r w:rsidRPr="003A31F0">
        <w:rPr>
          <w:rFonts w:ascii="Tahoma" w:hAnsi="Tahoma" w:cs="Tahoma"/>
          <w:sz w:val="26"/>
          <w:szCs w:val="26"/>
        </w:rPr>
        <w:t>personal de todas las categorías de la universidad, especificando la totalidad de los</w:t>
      </w:r>
      <w:r>
        <w:rPr>
          <w:rFonts w:ascii="Tahoma" w:hAnsi="Tahoma" w:cs="Tahoma"/>
          <w:sz w:val="26"/>
          <w:szCs w:val="26"/>
        </w:rPr>
        <w:t xml:space="preserve"> </w:t>
      </w:r>
      <w:r w:rsidRPr="003A31F0">
        <w:rPr>
          <w:rFonts w:ascii="Tahoma" w:hAnsi="Tahoma" w:cs="Tahoma"/>
          <w:sz w:val="26"/>
          <w:szCs w:val="26"/>
        </w:rPr>
        <w:t>costes</w:t>
      </w:r>
      <w:r>
        <w:rPr>
          <w:rFonts w:ascii="Tahoma" w:hAnsi="Tahoma" w:cs="Tahoma"/>
          <w:sz w:val="26"/>
          <w:szCs w:val="26"/>
        </w:rPr>
        <w:t xml:space="preserve">, </w:t>
      </w:r>
      <w:r w:rsidRPr="003A31F0">
        <w:rPr>
          <w:rFonts w:ascii="Tahoma" w:hAnsi="Tahoma" w:cs="Tahoma"/>
          <w:sz w:val="26"/>
          <w:szCs w:val="26"/>
        </w:rPr>
        <w:t xml:space="preserve">un anexo </w:t>
      </w:r>
      <w:r>
        <w:rPr>
          <w:rFonts w:ascii="Tahoma" w:hAnsi="Tahoma" w:cs="Tahoma"/>
          <w:sz w:val="26"/>
          <w:szCs w:val="26"/>
        </w:rPr>
        <w:t xml:space="preserve">con </w:t>
      </w:r>
      <w:r w:rsidRPr="003A31F0">
        <w:rPr>
          <w:rFonts w:ascii="Tahoma" w:hAnsi="Tahoma" w:cs="Tahoma"/>
          <w:sz w:val="26"/>
          <w:szCs w:val="26"/>
        </w:rPr>
        <w:t xml:space="preserve">los puestos de nuevo ingreso </w:t>
      </w:r>
      <w:r>
        <w:rPr>
          <w:rFonts w:ascii="Tahoma" w:hAnsi="Tahoma" w:cs="Tahoma"/>
          <w:sz w:val="26"/>
          <w:szCs w:val="26"/>
        </w:rPr>
        <w:t>y un r</w:t>
      </w:r>
      <w:r w:rsidRPr="002326C2">
        <w:rPr>
          <w:rFonts w:ascii="Tahoma" w:hAnsi="Tahoma" w:cs="Tahoma"/>
          <w:sz w:val="26"/>
          <w:szCs w:val="26"/>
        </w:rPr>
        <w:t>esumen del Presupuesto de la F</w:t>
      </w:r>
      <w:r>
        <w:rPr>
          <w:rFonts w:ascii="Tahoma" w:hAnsi="Tahoma" w:cs="Tahoma"/>
          <w:sz w:val="26"/>
          <w:szCs w:val="26"/>
        </w:rPr>
        <w:t>undación.</w:t>
      </w:r>
      <w:r w:rsidRPr="00093AF1">
        <w:rPr>
          <w:rFonts w:ascii="Tahoma" w:hAnsi="Tahoma" w:cs="Tahoma"/>
          <w:sz w:val="26"/>
          <w:szCs w:val="26"/>
        </w:rPr>
        <w:t xml:space="preserve"> Especialmente hay que destacar que incluya l</w:t>
      </w:r>
      <w:r w:rsidRPr="002326C2">
        <w:rPr>
          <w:rFonts w:ascii="Tahoma" w:hAnsi="Tahoma" w:cs="Tahoma"/>
          <w:sz w:val="26"/>
          <w:szCs w:val="26"/>
        </w:rPr>
        <w:t>as Normas de Ejecución del Presupuesto, que se encontraban pendientes de actualizar y aprobar desde 2017 y que tan necesarias son para la gestión económica de los diferentes Centro</w:t>
      </w:r>
      <w:r>
        <w:rPr>
          <w:rFonts w:ascii="Tahoma" w:hAnsi="Tahoma" w:cs="Tahoma"/>
          <w:sz w:val="26"/>
          <w:szCs w:val="26"/>
        </w:rPr>
        <w:t>s y Servicios de la Universidad.</w:t>
      </w:r>
      <w:r w:rsidRPr="002326C2">
        <w:rPr>
          <w:rFonts w:ascii="Tahoma" w:hAnsi="Tahoma" w:cs="Tahoma"/>
          <w:sz w:val="26"/>
          <w:szCs w:val="26"/>
        </w:rPr>
        <w:t xml:space="preserve"> </w:t>
      </w:r>
    </w:p>
    <w:p w:rsidR="00F66E4D" w:rsidRPr="00C24267" w:rsidRDefault="00F66E4D" w:rsidP="00F66E4D">
      <w:pPr>
        <w:spacing w:before="12"/>
        <w:jc w:val="both"/>
        <w:rPr>
          <w:rFonts w:ascii="Tahoma" w:hAnsi="Tahoma" w:cs="Tahoma"/>
          <w:sz w:val="26"/>
          <w:szCs w:val="26"/>
        </w:rPr>
      </w:pPr>
      <w:r w:rsidRPr="00C24267">
        <w:rPr>
          <w:rFonts w:ascii="Tahoma" w:hAnsi="Tahoma" w:cs="Tahoma"/>
          <w:sz w:val="26"/>
          <w:szCs w:val="26"/>
        </w:rPr>
        <w:t xml:space="preserve">La Comunidad de Madrid es el principal </w:t>
      </w:r>
      <w:r>
        <w:rPr>
          <w:rFonts w:ascii="Tahoma" w:hAnsi="Tahoma" w:cs="Tahoma"/>
          <w:sz w:val="26"/>
          <w:szCs w:val="26"/>
        </w:rPr>
        <w:t xml:space="preserve">agente </w:t>
      </w:r>
      <w:r w:rsidRPr="00C24267">
        <w:rPr>
          <w:rFonts w:ascii="Tahoma" w:hAnsi="Tahoma" w:cs="Tahoma"/>
          <w:sz w:val="26"/>
          <w:szCs w:val="26"/>
        </w:rPr>
        <w:t xml:space="preserve">financiador de la Universidad y su aportación para 2020 representa un 62,3% del total del Presupuesto de Ingresos, un porcentaje claramente insuficiente para garantizar el buen funcionamiento de la Universidad:   </w:t>
      </w:r>
    </w:p>
    <w:p w:rsidR="00F66E4D" w:rsidRDefault="00F66E4D" w:rsidP="00F66E4D">
      <w:pPr>
        <w:pStyle w:val="Prrafodelista"/>
        <w:numPr>
          <w:ilvl w:val="0"/>
          <w:numId w:val="1"/>
        </w:numPr>
        <w:spacing w:before="12"/>
        <w:jc w:val="both"/>
        <w:rPr>
          <w:rFonts w:ascii="Tahoma" w:hAnsi="Tahoma" w:cs="Tahoma"/>
          <w:sz w:val="26"/>
          <w:szCs w:val="26"/>
        </w:rPr>
      </w:pPr>
      <w:r>
        <w:rPr>
          <w:rFonts w:ascii="Tahoma" w:hAnsi="Tahoma" w:cs="Tahoma"/>
          <w:sz w:val="26"/>
          <w:szCs w:val="26"/>
        </w:rPr>
        <w:t>C</w:t>
      </w:r>
      <w:r w:rsidRPr="00C24267">
        <w:rPr>
          <w:rFonts w:ascii="Tahoma" w:hAnsi="Tahoma" w:cs="Tahoma"/>
          <w:sz w:val="26"/>
          <w:szCs w:val="26"/>
        </w:rPr>
        <w:t>ubre el 89 % de los Gastos de Personal</w:t>
      </w:r>
      <w:r>
        <w:rPr>
          <w:rFonts w:ascii="Tahoma" w:hAnsi="Tahoma" w:cs="Tahoma"/>
          <w:sz w:val="26"/>
          <w:szCs w:val="26"/>
        </w:rPr>
        <w:t xml:space="preserve"> (38</w:t>
      </w:r>
      <w:r w:rsidR="00BB568C">
        <w:rPr>
          <w:rFonts w:ascii="Tahoma" w:hAnsi="Tahoma" w:cs="Tahoma"/>
          <w:sz w:val="26"/>
          <w:szCs w:val="26"/>
        </w:rPr>
        <w:t xml:space="preserve">8,3 </w:t>
      </w:r>
      <w:r>
        <w:rPr>
          <w:rFonts w:ascii="Tahoma" w:hAnsi="Tahoma" w:cs="Tahoma"/>
          <w:sz w:val="26"/>
          <w:szCs w:val="26"/>
        </w:rPr>
        <w:t>millones de €)</w:t>
      </w:r>
      <w:r w:rsidRPr="00C24267">
        <w:rPr>
          <w:rFonts w:ascii="Tahoma" w:hAnsi="Tahoma" w:cs="Tahoma"/>
          <w:sz w:val="26"/>
          <w:szCs w:val="26"/>
        </w:rPr>
        <w:t xml:space="preserve">, generando en </w:t>
      </w:r>
      <w:r>
        <w:rPr>
          <w:rFonts w:ascii="Tahoma" w:hAnsi="Tahoma" w:cs="Tahoma"/>
          <w:sz w:val="26"/>
          <w:szCs w:val="26"/>
        </w:rPr>
        <w:t xml:space="preserve">el Capítulo I </w:t>
      </w:r>
      <w:r w:rsidRPr="00C24267">
        <w:rPr>
          <w:rFonts w:ascii="Tahoma" w:hAnsi="Tahoma" w:cs="Tahoma"/>
          <w:sz w:val="26"/>
          <w:szCs w:val="26"/>
        </w:rPr>
        <w:t>un</w:t>
      </w:r>
      <w:r>
        <w:rPr>
          <w:rFonts w:ascii="Tahoma" w:hAnsi="Tahoma" w:cs="Tahoma"/>
          <w:sz w:val="26"/>
          <w:szCs w:val="26"/>
        </w:rPr>
        <w:t xml:space="preserve"> déficit d</w:t>
      </w:r>
      <w:r w:rsidRPr="00C24267">
        <w:rPr>
          <w:rFonts w:ascii="Tahoma" w:hAnsi="Tahoma" w:cs="Tahoma"/>
          <w:sz w:val="26"/>
          <w:szCs w:val="26"/>
        </w:rPr>
        <w:t>e financiación de 41</w:t>
      </w:r>
      <w:r>
        <w:rPr>
          <w:rFonts w:ascii="Tahoma" w:hAnsi="Tahoma" w:cs="Tahoma"/>
          <w:sz w:val="26"/>
          <w:szCs w:val="26"/>
        </w:rPr>
        <w:t>,</w:t>
      </w:r>
      <w:r w:rsidRPr="00C24267">
        <w:rPr>
          <w:rFonts w:ascii="Tahoma" w:hAnsi="Tahoma" w:cs="Tahoma"/>
          <w:sz w:val="26"/>
          <w:szCs w:val="26"/>
        </w:rPr>
        <w:t>1 millones de euros</w:t>
      </w:r>
    </w:p>
    <w:p w:rsidR="00204202" w:rsidRPr="00204202" w:rsidRDefault="00F66E4D" w:rsidP="00204202">
      <w:pPr>
        <w:pStyle w:val="Prrafodelista"/>
        <w:numPr>
          <w:ilvl w:val="0"/>
          <w:numId w:val="1"/>
        </w:numPr>
        <w:rPr>
          <w:rFonts w:ascii="Tahoma" w:hAnsi="Tahoma" w:cs="Tahoma"/>
          <w:sz w:val="26"/>
          <w:szCs w:val="26"/>
        </w:rPr>
      </w:pPr>
      <w:r w:rsidRPr="00204202">
        <w:rPr>
          <w:rFonts w:ascii="Tahoma" w:hAnsi="Tahoma" w:cs="Tahoma"/>
          <w:sz w:val="26"/>
          <w:szCs w:val="26"/>
        </w:rPr>
        <w:t xml:space="preserve">Y cubre el 23,3 % de las inversiones en obras y equipamiento previstas para 2020. La financiación que recibe la Universidad para inversiones - obra nueva, reforma, mantenimiento y seguridad – asciende a 2,3 millones de euros, un importe claramente insuficiente si tenemos en cuenta que la Universidad ocupa 120 edificios, con casi un millón de metros cuadrados construidos, en su mayoría edificios antiguos con un alto coste de mantenimiento que requieren de inversiones importantes, y además, los dos Campus presentan grandes necesidades de reforma. </w:t>
      </w:r>
      <w:r w:rsidR="00204202" w:rsidRPr="00204202">
        <w:rPr>
          <w:rFonts w:ascii="Tahoma" w:hAnsi="Tahoma" w:cs="Tahoma"/>
          <w:sz w:val="26"/>
          <w:szCs w:val="26"/>
        </w:rPr>
        <w:t>Los servicios técnicos de la Universidad han realizado un estudio que evalúa las necesidades actuales en 780 millones de euros, el cual ha sido trasladado a la Comunidad de Madrid para su valoración y posibilidad de negociar un plan que permita acometer la reforma de nuestras infraestructuras.</w:t>
      </w:r>
    </w:p>
    <w:p w:rsidR="00F66E4D" w:rsidRPr="00C24267" w:rsidRDefault="00F66E4D" w:rsidP="00F66E4D">
      <w:pPr>
        <w:pStyle w:val="Prrafodelista"/>
        <w:spacing w:before="12"/>
        <w:ind w:left="142"/>
        <w:jc w:val="both"/>
        <w:rPr>
          <w:rFonts w:ascii="Tahoma" w:hAnsi="Tahoma" w:cs="Tahoma"/>
          <w:sz w:val="26"/>
          <w:szCs w:val="26"/>
        </w:rPr>
      </w:pPr>
    </w:p>
    <w:p w:rsidR="00204202" w:rsidRDefault="00204202" w:rsidP="00F66E4D">
      <w:pPr>
        <w:spacing w:before="12"/>
        <w:jc w:val="both"/>
        <w:rPr>
          <w:rFonts w:ascii="Tahoma" w:hAnsi="Tahoma" w:cs="Tahoma"/>
          <w:sz w:val="26"/>
          <w:szCs w:val="26"/>
        </w:rPr>
      </w:pPr>
      <w:r w:rsidRPr="00204202">
        <w:rPr>
          <w:rFonts w:ascii="Tahoma" w:hAnsi="Tahoma" w:cs="Tahoma"/>
          <w:sz w:val="26"/>
          <w:szCs w:val="26"/>
        </w:rPr>
        <w:t xml:space="preserve">Este equipo de gobierno abordará las inversiones de obras y mantenimiento atendiendo a los recursos financieros disponibles teniendo en cuenta los compromisos </w:t>
      </w:r>
      <w:r w:rsidRPr="00204202">
        <w:rPr>
          <w:rFonts w:ascii="Tahoma" w:hAnsi="Tahoma" w:cs="Tahoma"/>
          <w:sz w:val="26"/>
          <w:szCs w:val="26"/>
        </w:rPr>
        <w:lastRenderedPageBreak/>
        <w:t>ya hechos públicos por el equipo de dirección y la seguridad, actualización técnica de instalaciones en cuanto a normativa, accesibilidad, sostenibilidad y eficiencia energética.</w:t>
      </w:r>
    </w:p>
    <w:p w:rsidR="00F66E4D" w:rsidRPr="00CE4242" w:rsidRDefault="00F66E4D" w:rsidP="00F66E4D">
      <w:pPr>
        <w:spacing w:before="12"/>
        <w:jc w:val="both"/>
        <w:rPr>
          <w:rFonts w:ascii="Tahoma" w:hAnsi="Tahoma" w:cs="Tahoma"/>
          <w:sz w:val="26"/>
          <w:szCs w:val="26"/>
        </w:rPr>
      </w:pPr>
      <w:r w:rsidRPr="00CE4242">
        <w:rPr>
          <w:rFonts w:ascii="Tahoma" w:hAnsi="Tahoma" w:cs="Tahoma"/>
          <w:sz w:val="26"/>
          <w:szCs w:val="26"/>
        </w:rPr>
        <w:t>Se iniciaron negociaciones con la Comunidad para tratar de corregir el grado de cobertura de la nominativa con los gastos actuales de personal (capítulo 1), así como la posible elaboración de un Plan de Inversiones que permita aliviar la necesidad de financiación de la Universidad.</w:t>
      </w:r>
    </w:p>
    <w:p w:rsidR="0026789F" w:rsidRDefault="00826373" w:rsidP="00826373">
      <w:pPr>
        <w:jc w:val="both"/>
        <w:rPr>
          <w:rFonts w:ascii="Tahoma" w:hAnsi="Tahoma" w:cs="Tahoma"/>
          <w:sz w:val="26"/>
          <w:szCs w:val="26"/>
        </w:rPr>
      </w:pPr>
      <w:r w:rsidRPr="00093AF1">
        <w:rPr>
          <w:rFonts w:ascii="Tahoma" w:hAnsi="Tahoma" w:cs="Tahoma"/>
          <w:sz w:val="26"/>
          <w:szCs w:val="26"/>
        </w:rPr>
        <w:t xml:space="preserve">Las Cuentas Anuales del ejercicio 2019 </w:t>
      </w:r>
      <w:r w:rsidR="0026789F">
        <w:rPr>
          <w:rFonts w:ascii="Tahoma" w:hAnsi="Tahoma" w:cs="Tahoma"/>
          <w:sz w:val="26"/>
          <w:szCs w:val="26"/>
        </w:rPr>
        <w:t xml:space="preserve">se presentarán, conforme a la petición de la Intervención General de la Comunidad de Madrid, antes de que finalice la ampliación </w:t>
      </w:r>
      <w:r w:rsidR="00F0433A" w:rsidRPr="00F0433A">
        <w:rPr>
          <w:rFonts w:ascii="Tahoma" w:hAnsi="Tahoma" w:cs="Tahoma"/>
          <w:sz w:val="26"/>
          <w:szCs w:val="26"/>
        </w:rPr>
        <w:t xml:space="preserve">por un periodo igual a </w:t>
      </w:r>
      <w:r w:rsidR="00F0433A">
        <w:rPr>
          <w:rFonts w:ascii="Tahoma" w:hAnsi="Tahoma" w:cs="Tahoma"/>
          <w:sz w:val="26"/>
          <w:szCs w:val="26"/>
        </w:rPr>
        <w:t>lo que dur</w:t>
      </w:r>
      <w:r w:rsidR="00CD55C9">
        <w:rPr>
          <w:rFonts w:ascii="Tahoma" w:hAnsi="Tahoma" w:cs="Tahoma"/>
          <w:sz w:val="26"/>
          <w:szCs w:val="26"/>
        </w:rPr>
        <w:t>ó</w:t>
      </w:r>
      <w:r w:rsidR="00F0433A">
        <w:rPr>
          <w:rFonts w:ascii="Tahoma" w:hAnsi="Tahoma" w:cs="Tahoma"/>
          <w:sz w:val="26"/>
          <w:szCs w:val="26"/>
        </w:rPr>
        <w:t xml:space="preserve"> el </w:t>
      </w:r>
      <w:r w:rsidR="00CD55C9">
        <w:rPr>
          <w:rFonts w:ascii="Tahoma" w:hAnsi="Tahoma" w:cs="Tahoma"/>
          <w:sz w:val="26"/>
          <w:szCs w:val="26"/>
        </w:rPr>
        <w:t>E</w:t>
      </w:r>
      <w:r w:rsidR="00F0433A">
        <w:rPr>
          <w:rFonts w:ascii="Tahoma" w:hAnsi="Tahoma" w:cs="Tahoma"/>
          <w:sz w:val="26"/>
          <w:szCs w:val="26"/>
        </w:rPr>
        <w:t xml:space="preserve">stado de </w:t>
      </w:r>
      <w:r w:rsidR="00CD55C9">
        <w:rPr>
          <w:rFonts w:ascii="Tahoma" w:hAnsi="Tahoma" w:cs="Tahoma"/>
          <w:sz w:val="26"/>
          <w:szCs w:val="26"/>
        </w:rPr>
        <w:t>A</w:t>
      </w:r>
      <w:r w:rsidR="00F0433A">
        <w:rPr>
          <w:rFonts w:ascii="Tahoma" w:hAnsi="Tahoma" w:cs="Tahoma"/>
          <w:sz w:val="26"/>
          <w:szCs w:val="26"/>
        </w:rPr>
        <w:t>larma</w:t>
      </w:r>
      <w:r w:rsidR="004509DC">
        <w:rPr>
          <w:rFonts w:ascii="Tahoma" w:hAnsi="Tahoma" w:cs="Tahoma"/>
          <w:sz w:val="26"/>
          <w:szCs w:val="26"/>
        </w:rPr>
        <w:t xml:space="preserve">. Dicha ampliación fue </w:t>
      </w:r>
      <w:r w:rsidR="0026789F">
        <w:rPr>
          <w:rFonts w:ascii="Tahoma" w:hAnsi="Tahoma" w:cs="Tahoma"/>
          <w:sz w:val="26"/>
          <w:szCs w:val="26"/>
        </w:rPr>
        <w:t xml:space="preserve">aprobada en Consejo de Gobierno (26 de mayo 2020) y Consejo Social (2 junio 2020) </w:t>
      </w:r>
      <w:r w:rsidR="004509DC">
        <w:rPr>
          <w:rFonts w:ascii="Tahoma" w:hAnsi="Tahoma" w:cs="Tahoma"/>
          <w:sz w:val="26"/>
          <w:szCs w:val="26"/>
        </w:rPr>
        <w:t xml:space="preserve">por </w:t>
      </w:r>
      <w:r w:rsidR="0026789F">
        <w:rPr>
          <w:rFonts w:ascii="Tahoma" w:hAnsi="Tahoma" w:cs="Tahoma"/>
          <w:sz w:val="26"/>
          <w:szCs w:val="26"/>
        </w:rPr>
        <w:t xml:space="preserve">la que la UCM se acogió </w:t>
      </w:r>
      <w:r w:rsidR="0026789F" w:rsidRPr="0026789F">
        <w:rPr>
          <w:rFonts w:ascii="Tahoma" w:hAnsi="Tahoma" w:cs="Tahoma"/>
          <w:sz w:val="26"/>
          <w:szCs w:val="26"/>
        </w:rPr>
        <w:t>a las medidas extraordinarias relativas a la interrupción y suspensión de plazos de formulación, aprobación y rendición de cuentas anuales, motivadas por la crisis sanitaria (RDL 8/2020 de 17 de marzo y RDL 11/2020 de 31 de marzo)</w:t>
      </w:r>
      <w:r w:rsidR="004509DC">
        <w:rPr>
          <w:rFonts w:ascii="Tahoma" w:hAnsi="Tahoma" w:cs="Tahoma"/>
          <w:sz w:val="26"/>
          <w:szCs w:val="26"/>
        </w:rPr>
        <w:t>.</w:t>
      </w:r>
    </w:p>
    <w:p w:rsidR="00826373" w:rsidRDefault="00826373" w:rsidP="00826373">
      <w:pPr>
        <w:jc w:val="both"/>
        <w:rPr>
          <w:rFonts w:ascii="Tahoma" w:hAnsi="Tahoma" w:cs="Tahoma"/>
          <w:sz w:val="26"/>
          <w:szCs w:val="26"/>
        </w:rPr>
      </w:pPr>
      <w:r w:rsidRPr="00093AF1">
        <w:rPr>
          <w:rFonts w:ascii="Tahoma" w:hAnsi="Tahoma" w:cs="Tahoma"/>
          <w:sz w:val="26"/>
          <w:szCs w:val="26"/>
        </w:rPr>
        <w:t xml:space="preserve">Con respecto a la situación financiera de la Universidad debe indicarse que el saldo medio de las cuentas corrientes </w:t>
      </w:r>
      <w:r w:rsidR="00CD55C9">
        <w:rPr>
          <w:rFonts w:ascii="Tahoma" w:hAnsi="Tahoma" w:cs="Tahoma"/>
          <w:sz w:val="26"/>
          <w:szCs w:val="26"/>
        </w:rPr>
        <w:t xml:space="preserve">antes </w:t>
      </w:r>
      <w:r w:rsidR="007D7839">
        <w:rPr>
          <w:rFonts w:ascii="Tahoma" w:hAnsi="Tahoma" w:cs="Tahoma"/>
          <w:sz w:val="26"/>
          <w:szCs w:val="26"/>
        </w:rPr>
        <w:t>a fecha actual supera los</w:t>
      </w:r>
      <w:r>
        <w:rPr>
          <w:rFonts w:ascii="Tahoma" w:hAnsi="Tahoma" w:cs="Tahoma"/>
          <w:sz w:val="26"/>
          <w:szCs w:val="26"/>
        </w:rPr>
        <w:t xml:space="preserve"> </w:t>
      </w:r>
      <w:r w:rsidR="00CD55C9" w:rsidRPr="007D7839">
        <w:rPr>
          <w:rFonts w:ascii="Tahoma" w:hAnsi="Tahoma" w:cs="Tahoma"/>
          <w:sz w:val="26"/>
          <w:szCs w:val="26"/>
        </w:rPr>
        <w:t>100</w:t>
      </w:r>
      <w:r w:rsidRPr="007D7839">
        <w:rPr>
          <w:rFonts w:ascii="Tahoma" w:hAnsi="Tahoma" w:cs="Tahoma"/>
          <w:sz w:val="26"/>
          <w:szCs w:val="26"/>
        </w:rPr>
        <w:t xml:space="preserve"> millones de euros</w:t>
      </w:r>
      <w:r w:rsidR="007D7839">
        <w:rPr>
          <w:rFonts w:ascii="Tahoma" w:hAnsi="Tahoma" w:cs="Tahoma"/>
          <w:sz w:val="26"/>
          <w:szCs w:val="26"/>
        </w:rPr>
        <w:t xml:space="preserve">, </w:t>
      </w:r>
      <w:r>
        <w:rPr>
          <w:rFonts w:ascii="Tahoma" w:hAnsi="Tahoma" w:cs="Tahoma"/>
          <w:sz w:val="26"/>
          <w:szCs w:val="26"/>
        </w:rPr>
        <w:t xml:space="preserve">lo que está permitiendo </w:t>
      </w:r>
      <w:r w:rsidRPr="00093AF1">
        <w:rPr>
          <w:rFonts w:ascii="Tahoma" w:hAnsi="Tahoma" w:cs="Tahoma"/>
          <w:sz w:val="26"/>
          <w:szCs w:val="26"/>
        </w:rPr>
        <w:t>atender los compromisos de pago</w:t>
      </w:r>
      <w:r>
        <w:rPr>
          <w:rFonts w:ascii="Tahoma" w:hAnsi="Tahoma" w:cs="Tahoma"/>
          <w:sz w:val="26"/>
          <w:szCs w:val="26"/>
        </w:rPr>
        <w:t xml:space="preserve"> a</w:t>
      </w:r>
      <w:r w:rsidRPr="00093AF1">
        <w:rPr>
          <w:rFonts w:ascii="Tahoma" w:hAnsi="Tahoma" w:cs="Tahoma"/>
          <w:sz w:val="26"/>
          <w:szCs w:val="26"/>
        </w:rPr>
        <w:t xml:space="preserve"> </w:t>
      </w:r>
      <w:r>
        <w:rPr>
          <w:rFonts w:ascii="Tahoma" w:hAnsi="Tahoma" w:cs="Tahoma"/>
          <w:sz w:val="26"/>
          <w:szCs w:val="26"/>
        </w:rPr>
        <w:t xml:space="preserve">proveedores de una forma más ágil. </w:t>
      </w:r>
    </w:p>
    <w:p w:rsidR="00826373" w:rsidRPr="00EE69ED" w:rsidRDefault="00826373" w:rsidP="00826373">
      <w:pPr>
        <w:jc w:val="both"/>
        <w:rPr>
          <w:rFonts w:ascii="Tahoma" w:hAnsi="Tahoma" w:cs="Tahoma"/>
          <w:sz w:val="26"/>
          <w:szCs w:val="26"/>
        </w:rPr>
      </w:pPr>
      <w:r w:rsidRPr="00EE69ED">
        <w:rPr>
          <w:rFonts w:ascii="Tahoma" w:hAnsi="Tahoma" w:cs="Tahoma"/>
          <w:sz w:val="26"/>
          <w:szCs w:val="26"/>
        </w:rPr>
        <w:t xml:space="preserve">El endeudamiento de la Universidad a 31 de diciembre de 2019 ascendió a </w:t>
      </w:r>
      <w:r w:rsidR="007D7839">
        <w:rPr>
          <w:rFonts w:ascii="Tahoma" w:hAnsi="Tahoma" w:cs="Tahoma"/>
          <w:sz w:val="26"/>
          <w:szCs w:val="26"/>
        </w:rPr>
        <w:t>43,6</w:t>
      </w:r>
      <w:r w:rsidRPr="00EE69ED">
        <w:rPr>
          <w:rFonts w:ascii="Tahoma" w:hAnsi="Tahoma" w:cs="Tahoma"/>
          <w:sz w:val="26"/>
          <w:szCs w:val="26"/>
        </w:rPr>
        <w:t xml:space="preserve"> millones de euros de principal, y se corresponde fundamentalmente con la operación asociada al Mecanismo Extraordinario de Financiación para el Pago a Proveedores (2013)</w:t>
      </w:r>
      <w:r w:rsidR="007D7839">
        <w:rPr>
          <w:rFonts w:ascii="Tahoma" w:hAnsi="Tahoma" w:cs="Tahoma"/>
          <w:sz w:val="26"/>
          <w:szCs w:val="26"/>
        </w:rPr>
        <w:t>, 28,6 Millones €,</w:t>
      </w:r>
      <w:r w:rsidRPr="00EE69ED">
        <w:rPr>
          <w:rFonts w:ascii="Tahoma" w:hAnsi="Tahoma" w:cs="Tahoma"/>
          <w:sz w:val="26"/>
          <w:szCs w:val="26"/>
        </w:rPr>
        <w:t xml:space="preserve"> y a anticipos reembolsables de Investigación</w:t>
      </w:r>
      <w:r w:rsidR="007D7839">
        <w:rPr>
          <w:rFonts w:ascii="Tahoma" w:hAnsi="Tahoma" w:cs="Tahoma"/>
          <w:sz w:val="26"/>
          <w:szCs w:val="26"/>
        </w:rPr>
        <w:t>, 15 millones €.</w:t>
      </w:r>
    </w:p>
    <w:p w:rsidR="00826373" w:rsidRDefault="00826373" w:rsidP="00826373">
      <w:pPr>
        <w:jc w:val="both"/>
        <w:rPr>
          <w:rFonts w:ascii="Tahoma" w:hAnsi="Tahoma" w:cs="Tahoma"/>
          <w:sz w:val="26"/>
          <w:szCs w:val="26"/>
        </w:rPr>
      </w:pPr>
      <w:r w:rsidRPr="0048729D">
        <w:rPr>
          <w:rFonts w:ascii="Tahoma" w:hAnsi="Tahoma" w:cs="Tahoma"/>
          <w:sz w:val="26"/>
          <w:szCs w:val="26"/>
        </w:rPr>
        <w:t xml:space="preserve">Con fecha 18 de diciembre de 2019 se </w:t>
      </w:r>
      <w:r w:rsidR="00752CF6">
        <w:rPr>
          <w:rFonts w:ascii="Tahoma" w:hAnsi="Tahoma" w:cs="Tahoma"/>
          <w:sz w:val="26"/>
          <w:szCs w:val="26"/>
        </w:rPr>
        <w:t>procedió</w:t>
      </w:r>
      <w:r w:rsidRPr="0048729D">
        <w:rPr>
          <w:rFonts w:ascii="Tahoma" w:hAnsi="Tahoma" w:cs="Tahoma"/>
          <w:sz w:val="26"/>
          <w:szCs w:val="26"/>
        </w:rPr>
        <w:t xml:space="preserve"> a la devolución anticipada del préstamo personal otorgado por la Fundación General a favor de la Universidad</w:t>
      </w:r>
      <w:r>
        <w:rPr>
          <w:rFonts w:ascii="Tahoma" w:hAnsi="Tahoma" w:cs="Tahoma"/>
          <w:sz w:val="26"/>
          <w:szCs w:val="26"/>
        </w:rPr>
        <w:t>, r</w:t>
      </w:r>
      <w:r w:rsidRPr="00EE69ED">
        <w:rPr>
          <w:rFonts w:ascii="Tahoma" w:hAnsi="Tahoma" w:cs="Tahoma"/>
          <w:sz w:val="26"/>
          <w:szCs w:val="26"/>
        </w:rPr>
        <w:t>ecibi</w:t>
      </w:r>
      <w:r>
        <w:rPr>
          <w:rFonts w:ascii="Tahoma" w:hAnsi="Tahoma" w:cs="Tahoma"/>
          <w:sz w:val="26"/>
          <w:szCs w:val="26"/>
        </w:rPr>
        <w:t xml:space="preserve">do el </w:t>
      </w:r>
      <w:r w:rsidRPr="00EE69ED">
        <w:rPr>
          <w:rFonts w:ascii="Tahoma" w:hAnsi="Tahoma" w:cs="Tahoma"/>
          <w:sz w:val="26"/>
          <w:szCs w:val="26"/>
        </w:rPr>
        <w:t>3 de junio</w:t>
      </w:r>
      <w:r>
        <w:rPr>
          <w:rFonts w:ascii="Tahoma" w:hAnsi="Tahoma" w:cs="Tahoma"/>
          <w:sz w:val="26"/>
          <w:szCs w:val="26"/>
        </w:rPr>
        <w:t>, por</w:t>
      </w:r>
      <w:r w:rsidRPr="0048729D">
        <w:rPr>
          <w:rFonts w:ascii="Tahoma" w:hAnsi="Tahoma" w:cs="Tahoma"/>
          <w:sz w:val="26"/>
          <w:szCs w:val="26"/>
        </w:rPr>
        <w:t xml:space="preserve"> importe de 5.251.321,18</w:t>
      </w:r>
      <w:r>
        <w:rPr>
          <w:rFonts w:ascii="Tahoma" w:hAnsi="Tahoma" w:cs="Tahoma"/>
          <w:sz w:val="26"/>
          <w:szCs w:val="26"/>
        </w:rPr>
        <w:t xml:space="preserve"> euros, </w:t>
      </w:r>
      <w:r w:rsidRPr="0048729D">
        <w:rPr>
          <w:rFonts w:ascii="Tahoma" w:hAnsi="Tahoma" w:cs="Tahoma"/>
          <w:sz w:val="26"/>
          <w:szCs w:val="26"/>
        </w:rPr>
        <w:t xml:space="preserve">en virtud </w:t>
      </w:r>
      <w:r>
        <w:rPr>
          <w:rFonts w:ascii="Tahoma" w:hAnsi="Tahoma" w:cs="Tahoma"/>
          <w:sz w:val="26"/>
          <w:szCs w:val="26"/>
        </w:rPr>
        <w:t>d</w:t>
      </w:r>
      <w:r w:rsidRPr="0048729D">
        <w:rPr>
          <w:rFonts w:ascii="Tahoma" w:hAnsi="Tahoma" w:cs="Tahoma"/>
          <w:sz w:val="26"/>
          <w:szCs w:val="26"/>
        </w:rPr>
        <w:t xml:space="preserve">el acuerdo </w:t>
      </w:r>
      <w:r>
        <w:rPr>
          <w:rFonts w:ascii="Tahoma" w:hAnsi="Tahoma" w:cs="Tahoma"/>
          <w:sz w:val="26"/>
          <w:szCs w:val="26"/>
        </w:rPr>
        <w:t xml:space="preserve">de </w:t>
      </w:r>
      <w:r w:rsidRPr="0048729D">
        <w:rPr>
          <w:rFonts w:ascii="Tahoma" w:hAnsi="Tahoma" w:cs="Tahoma"/>
          <w:sz w:val="26"/>
          <w:szCs w:val="26"/>
        </w:rPr>
        <w:t>devolución y cancelación del citado préstamo firmado por ambas partes de fecha 12 de diciembre</w:t>
      </w:r>
      <w:r>
        <w:rPr>
          <w:rFonts w:ascii="Tahoma" w:hAnsi="Tahoma" w:cs="Tahoma"/>
          <w:sz w:val="26"/>
          <w:szCs w:val="26"/>
        </w:rPr>
        <w:t>. E</w:t>
      </w:r>
      <w:r w:rsidRPr="0048729D">
        <w:rPr>
          <w:rFonts w:ascii="Tahoma" w:hAnsi="Tahoma" w:cs="Tahoma"/>
          <w:sz w:val="26"/>
          <w:szCs w:val="26"/>
        </w:rPr>
        <w:t xml:space="preserve">l Consejo de Gobierno </w:t>
      </w:r>
      <w:r>
        <w:rPr>
          <w:rFonts w:ascii="Tahoma" w:hAnsi="Tahoma" w:cs="Tahoma"/>
          <w:sz w:val="26"/>
          <w:szCs w:val="26"/>
        </w:rPr>
        <w:t>d</w:t>
      </w:r>
      <w:r w:rsidRPr="0048729D">
        <w:rPr>
          <w:rFonts w:ascii="Tahoma" w:hAnsi="Tahoma" w:cs="Tahoma"/>
          <w:sz w:val="26"/>
          <w:szCs w:val="26"/>
        </w:rPr>
        <w:t>el pasado 28 de enero</w:t>
      </w:r>
      <w:r>
        <w:rPr>
          <w:rFonts w:ascii="Tahoma" w:hAnsi="Tahoma" w:cs="Tahoma"/>
          <w:sz w:val="26"/>
          <w:szCs w:val="26"/>
        </w:rPr>
        <w:t xml:space="preserve"> </w:t>
      </w:r>
      <w:r w:rsidR="00CD55C9">
        <w:rPr>
          <w:rFonts w:ascii="Tahoma" w:hAnsi="Tahoma" w:cs="Tahoma"/>
          <w:sz w:val="26"/>
          <w:szCs w:val="26"/>
        </w:rPr>
        <w:t>aprobó</w:t>
      </w:r>
      <w:r>
        <w:rPr>
          <w:rFonts w:ascii="Tahoma" w:hAnsi="Tahoma" w:cs="Tahoma"/>
          <w:sz w:val="26"/>
          <w:szCs w:val="26"/>
        </w:rPr>
        <w:t xml:space="preserve"> elevar este </w:t>
      </w:r>
      <w:r w:rsidRPr="00C24267">
        <w:rPr>
          <w:rFonts w:ascii="Tahoma" w:hAnsi="Tahoma" w:cs="Tahoma"/>
          <w:sz w:val="26"/>
          <w:szCs w:val="26"/>
        </w:rPr>
        <w:t>acuerdo a escritura pública</w:t>
      </w:r>
      <w:r>
        <w:rPr>
          <w:rFonts w:ascii="Tahoma" w:hAnsi="Tahoma" w:cs="Tahoma"/>
          <w:sz w:val="26"/>
          <w:szCs w:val="26"/>
        </w:rPr>
        <w:t>.</w:t>
      </w:r>
    </w:p>
    <w:p w:rsidR="005F1C93" w:rsidRDefault="00292E8D" w:rsidP="007D2A7B">
      <w:pPr>
        <w:spacing w:before="12"/>
        <w:jc w:val="both"/>
        <w:rPr>
          <w:rFonts w:ascii="Tahoma" w:hAnsi="Tahoma" w:cs="Tahoma"/>
          <w:sz w:val="26"/>
          <w:szCs w:val="26"/>
        </w:rPr>
      </w:pPr>
      <w:r w:rsidRPr="00CE4242">
        <w:rPr>
          <w:rFonts w:ascii="Tahoma" w:hAnsi="Tahoma" w:cs="Tahoma"/>
          <w:sz w:val="26"/>
          <w:szCs w:val="26"/>
        </w:rPr>
        <w:t>El pasado mes de agosto se ingresaron 24,</w:t>
      </w:r>
      <w:r w:rsidR="00737BE8" w:rsidRPr="00CE4242">
        <w:rPr>
          <w:rFonts w:ascii="Tahoma" w:hAnsi="Tahoma" w:cs="Tahoma"/>
          <w:sz w:val="26"/>
          <w:szCs w:val="26"/>
        </w:rPr>
        <w:t xml:space="preserve">6 millones de € en ejecución de dos sentencias firmes del Tribunal Superior de Justicia de Madrid debido a la providencia de inadmisión del recurso de casación, por el Tribunal Supremo. Se continúa negociando con la Comunidad de Madrid para se cumpla con las citadas sentencias </w:t>
      </w:r>
      <w:r w:rsidR="005F1C93" w:rsidRPr="00CE4242">
        <w:rPr>
          <w:rFonts w:ascii="Tahoma" w:hAnsi="Tahoma" w:cs="Tahoma"/>
          <w:sz w:val="26"/>
          <w:szCs w:val="26"/>
        </w:rPr>
        <w:t xml:space="preserve">de becas </w:t>
      </w:r>
      <w:r w:rsidR="00737BE8" w:rsidRPr="00CE4242">
        <w:rPr>
          <w:rFonts w:ascii="Tahoma" w:hAnsi="Tahoma" w:cs="Tahoma"/>
          <w:sz w:val="26"/>
          <w:szCs w:val="26"/>
        </w:rPr>
        <w:t>al objeto de evitar acudir a un procedimiento de ejecución judicial.</w:t>
      </w:r>
    </w:p>
    <w:p w:rsidR="00D30FE1" w:rsidRPr="00CE4242" w:rsidRDefault="00D30FE1" w:rsidP="007D2A7B">
      <w:pPr>
        <w:spacing w:before="12"/>
        <w:jc w:val="both"/>
        <w:rPr>
          <w:rFonts w:ascii="Tahoma" w:hAnsi="Tahoma" w:cs="Tahoma"/>
          <w:sz w:val="26"/>
          <w:szCs w:val="26"/>
        </w:rPr>
      </w:pPr>
    </w:p>
    <w:p w:rsidR="00826373" w:rsidRDefault="00335AC5" w:rsidP="00D30FE1">
      <w:pPr>
        <w:spacing w:before="12"/>
        <w:jc w:val="both"/>
        <w:rPr>
          <w:rFonts w:ascii="Tahoma" w:hAnsi="Tahoma" w:cs="Tahoma"/>
          <w:sz w:val="26"/>
          <w:szCs w:val="26"/>
        </w:rPr>
      </w:pPr>
      <w:r>
        <w:rPr>
          <w:rFonts w:ascii="Tahoma" w:hAnsi="Tahoma" w:cs="Tahoma"/>
          <w:sz w:val="26"/>
          <w:szCs w:val="26"/>
        </w:rPr>
        <w:t xml:space="preserve">Aunque es </w:t>
      </w:r>
      <w:r w:rsidRPr="00335AC5">
        <w:rPr>
          <w:rFonts w:ascii="Tahoma" w:hAnsi="Tahoma" w:cs="Tahoma"/>
          <w:sz w:val="26"/>
          <w:szCs w:val="26"/>
        </w:rPr>
        <w:t xml:space="preserve">difícil llegar a conclusiones </w:t>
      </w:r>
      <w:r>
        <w:rPr>
          <w:rFonts w:ascii="Tahoma" w:hAnsi="Tahoma" w:cs="Tahoma"/>
          <w:sz w:val="26"/>
          <w:szCs w:val="26"/>
        </w:rPr>
        <w:t xml:space="preserve">del impacto económico del COVID 19 en la UCM, </w:t>
      </w:r>
      <w:r w:rsidRPr="00335AC5">
        <w:rPr>
          <w:rFonts w:ascii="Tahoma" w:hAnsi="Tahoma" w:cs="Tahoma"/>
          <w:sz w:val="26"/>
          <w:szCs w:val="26"/>
        </w:rPr>
        <w:t>porque los escenarios continúan abiertos y desconocemos qué es lo que nos podemos encontrar al comienzo del curso 2020-21</w:t>
      </w:r>
      <w:r>
        <w:rPr>
          <w:rFonts w:ascii="Tahoma" w:hAnsi="Tahoma" w:cs="Tahoma"/>
          <w:sz w:val="26"/>
          <w:szCs w:val="26"/>
        </w:rPr>
        <w:t>,</w:t>
      </w:r>
      <w:r w:rsidRPr="00335AC5">
        <w:rPr>
          <w:rFonts w:ascii="Tahoma" w:hAnsi="Tahoma" w:cs="Tahoma"/>
          <w:sz w:val="26"/>
          <w:szCs w:val="26"/>
        </w:rPr>
        <w:t xml:space="preserve"> es posible hacer una evaluación muy preliminar</w:t>
      </w:r>
      <w:r>
        <w:rPr>
          <w:rFonts w:ascii="Tahoma" w:hAnsi="Tahoma" w:cs="Tahoma"/>
          <w:sz w:val="26"/>
          <w:szCs w:val="26"/>
        </w:rPr>
        <w:t>. Considerando la reducción de ingresos por Colegios Mayores, Clínicas, anulaciones de matrícula, ... el incremento de los gastos incurridos (compra de equipos, materiales, …), podemos valorar</w:t>
      </w:r>
      <w:r w:rsidR="00BB568C">
        <w:rPr>
          <w:rFonts w:ascii="Tahoma" w:hAnsi="Tahoma" w:cs="Tahoma"/>
          <w:sz w:val="26"/>
          <w:szCs w:val="26"/>
        </w:rPr>
        <w:t>, a 30 de septiembre</w:t>
      </w:r>
      <w:r w:rsidR="00EF4C79">
        <w:rPr>
          <w:rFonts w:ascii="Tahoma" w:hAnsi="Tahoma" w:cs="Tahoma"/>
          <w:sz w:val="26"/>
          <w:szCs w:val="26"/>
        </w:rPr>
        <w:t>,</w:t>
      </w:r>
      <w:r>
        <w:rPr>
          <w:rFonts w:ascii="Tahoma" w:hAnsi="Tahoma" w:cs="Tahoma"/>
          <w:sz w:val="26"/>
          <w:szCs w:val="26"/>
        </w:rPr>
        <w:t xml:space="preserve"> </w:t>
      </w:r>
      <w:r w:rsidR="00AE0F1D">
        <w:rPr>
          <w:rFonts w:ascii="Tahoma" w:hAnsi="Tahoma" w:cs="Tahoma"/>
          <w:sz w:val="26"/>
          <w:szCs w:val="26"/>
        </w:rPr>
        <w:t xml:space="preserve">un </w:t>
      </w:r>
      <w:r w:rsidR="00AE0F1D" w:rsidRPr="008E55F0">
        <w:rPr>
          <w:rFonts w:ascii="Tahoma" w:hAnsi="Tahoma" w:cs="Tahoma"/>
          <w:sz w:val="26"/>
          <w:szCs w:val="26"/>
        </w:rPr>
        <w:t xml:space="preserve">efecto negativo de más de </w:t>
      </w:r>
      <w:r w:rsidR="00BB568C">
        <w:rPr>
          <w:rFonts w:ascii="Tahoma" w:hAnsi="Tahoma" w:cs="Tahoma"/>
          <w:sz w:val="26"/>
          <w:szCs w:val="26"/>
        </w:rPr>
        <w:t>6,0</w:t>
      </w:r>
      <w:r w:rsidR="00AE0F1D" w:rsidRPr="008E55F0">
        <w:rPr>
          <w:rFonts w:ascii="Tahoma" w:hAnsi="Tahoma" w:cs="Tahoma"/>
          <w:sz w:val="26"/>
          <w:szCs w:val="26"/>
        </w:rPr>
        <w:t xml:space="preserve"> millones €.</w:t>
      </w:r>
    </w:p>
    <w:p w:rsidR="00B54A96" w:rsidRPr="00B54A96" w:rsidRDefault="00B54A96" w:rsidP="00B54A96">
      <w:pPr>
        <w:spacing w:before="12"/>
        <w:jc w:val="both"/>
        <w:rPr>
          <w:rFonts w:ascii="Tahoma" w:hAnsi="Tahoma" w:cs="Tahoma"/>
          <w:sz w:val="26"/>
          <w:szCs w:val="26"/>
        </w:rPr>
      </w:pPr>
      <w:r>
        <w:rPr>
          <w:rFonts w:ascii="Tahoma" w:hAnsi="Tahoma" w:cs="Tahoma"/>
          <w:sz w:val="26"/>
          <w:szCs w:val="26"/>
        </w:rPr>
        <w:t xml:space="preserve">Se ha iniciado la fase y análisis de viabilidad del proyecto “papel cero en el área económica” para tener el pliego antes de finalizar el año 2020. </w:t>
      </w:r>
      <w:r w:rsidR="000F7814">
        <w:rPr>
          <w:rFonts w:ascii="Tahoma" w:hAnsi="Tahoma" w:cs="Tahoma"/>
          <w:sz w:val="26"/>
          <w:szCs w:val="26"/>
        </w:rPr>
        <w:t xml:space="preserve">Recogiendo tanto la gestión del expediente electrónico como la contratación electrónica. </w:t>
      </w:r>
      <w:r w:rsidRPr="00B54A96">
        <w:rPr>
          <w:rFonts w:ascii="Tahoma" w:hAnsi="Tahoma" w:cs="Tahoma"/>
          <w:sz w:val="26"/>
          <w:szCs w:val="26"/>
        </w:rPr>
        <w:t>El soporte pa</w:t>
      </w:r>
      <w:r w:rsidR="000F7814">
        <w:rPr>
          <w:rFonts w:ascii="Tahoma" w:hAnsi="Tahoma" w:cs="Tahoma"/>
          <w:sz w:val="26"/>
          <w:szCs w:val="26"/>
        </w:rPr>
        <w:t>ra registrar operaciones en la c</w:t>
      </w:r>
      <w:r w:rsidRPr="00B54A96">
        <w:rPr>
          <w:rFonts w:ascii="Tahoma" w:hAnsi="Tahoma" w:cs="Tahoma"/>
          <w:sz w:val="26"/>
          <w:szCs w:val="26"/>
        </w:rPr>
        <w:t xml:space="preserve">ontabilidad y el acompañamiento de justificantes e índice conforma un expediente administrativo económico, que es lo que se quiere </w:t>
      </w:r>
      <w:r>
        <w:rPr>
          <w:rFonts w:ascii="Tahoma" w:hAnsi="Tahoma" w:cs="Tahoma"/>
          <w:sz w:val="26"/>
          <w:szCs w:val="26"/>
        </w:rPr>
        <w:t>tramitar de forma electrónica, tiene que realizarse a través de un expediente electrónico.</w:t>
      </w:r>
    </w:p>
    <w:p w:rsidR="00B54A96" w:rsidRPr="00B54A96" w:rsidRDefault="00B54A96" w:rsidP="00B54A96">
      <w:pPr>
        <w:spacing w:before="12"/>
        <w:jc w:val="both"/>
        <w:rPr>
          <w:rFonts w:ascii="Tahoma" w:hAnsi="Tahoma" w:cs="Tahoma"/>
          <w:sz w:val="26"/>
          <w:szCs w:val="26"/>
        </w:rPr>
      </w:pPr>
      <w:r w:rsidRPr="00B54A96">
        <w:rPr>
          <w:rFonts w:ascii="Tahoma" w:hAnsi="Tahoma" w:cs="Tahoma"/>
          <w:sz w:val="26"/>
          <w:szCs w:val="26"/>
        </w:rPr>
        <w:t>Estos expedientes electrónicos están perfectamente regulados: tienen que tener un contenido, estructura, formato y metadatos específicos.</w:t>
      </w:r>
      <w:r>
        <w:rPr>
          <w:rFonts w:ascii="Tahoma" w:hAnsi="Tahoma" w:cs="Tahoma"/>
          <w:sz w:val="26"/>
          <w:szCs w:val="26"/>
        </w:rPr>
        <w:t xml:space="preserve"> </w:t>
      </w:r>
      <w:r w:rsidRPr="00B54A96">
        <w:rPr>
          <w:rFonts w:ascii="Tahoma" w:hAnsi="Tahoma" w:cs="Tahoma"/>
          <w:sz w:val="26"/>
          <w:szCs w:val="26"/>
        </w:rPr>
        <w:t xml:space="preserve">Son documentos que se expiden en un único ejemplar, son </w:t>
      </w:r>
      <w:proofErr w:type="spellStart"/>
      <w:r w:rsidRPr="00B54A96">
        <w:rPr>
          <w:rFonts w:ascii="Tahoma" w:hAnsi="Tahoma" w:cs="Tahoma"/>
          <w:sz w:val="26"/>
          <w:szCs w:val="26"/>
        </w:rPr>
        <w:t>multifirma</w:t>
      </w:r>
      <w:proofErr w:type="spellEnd"/>
      <w:r w:rsidRPr="00B54A96">
        <w:rPr>
          <w:rFonts w:ascii="Tahoma" w:hAnsi="Tahoma" w:cs="Tahoma"/>
          <w:sz w:val="26"/>
          <w:szCs w:val="26"/>
        </w:rPr>
        <w:t xml:space="preserve"> o de firmas sucesivas y acompañan documentación. Esto obliga en primer lugar a la existencia de un flujo de tareas.</w:t>
      </w:r>
      <w:r>
        <w:rPr>
          <w:rFonts w:ascii="Tahoma" w:hAnsi="Tahoma" w:cs="Tahoma"/>
          <w:sz w:val="26"/>
          <w:szCs w:val="26"/>
        </w:rPr>
        <w:t xml:space="preserve"> </w:t>
      </w:r>
      <w:r w:rsidRPr="00B54A96">
        <w:rPr>
          <w:rFonts w:ascii="Tahoma" w:hAnsi="Tahoma" w:cs="Tahoma"/>
          <w:sz w:val="26"/>
          <w:szCs w:val="26"/>
        </w:rPr>
        <w:t>Ha de asegurarse su autenticidad, integridad y la verificación de esta autenticidad en todo momento. Ha de contener un índice electrónico que garantice su contenido.</w:t>
      </w:r>
      <w:r>
        <w:rPr>
          <w:rFonts w:ascii="Tahoma" w:hAnsi="Tahoma" w:cs="Tahoma"/>
          <w:sz w:val="26"/>
          <w:szCs w:val="26"/>
        </w:rPr>
        <w:t xml:space="preserve"> </w:t>
      </w:r>
      <w:r w:rsidRPr="00B54A96">
        <w:rPr>
          <w:rFonts w:ascii="Tahoma" w:hAnsi="Tahoma" w:cs="Tahoma"/>
          <w:sz w:val="26"/>
          <w:szCs w:val="26"/>
        </w:rPr>
        <w:t>Los documentos han de incluir firma electrónica cualificada y los justificantes y documentos complementarios ser al menos copias electrónicas auténticas.</w:t>
      </w:r>
    </w:p>
    <w:p w:rsidR="009A645A" w:rsidRDefault="00B54A96" w:rsidP="00B54A96">
      <w:pPr>
        <w:spacing w:before="12"/>
        <w:jc w:val="both"/>
        <w:rPr>
          <w:rFonts w:ascii="Tahoma" w:hAnsi="Tahoma" w:cs="Tahoma"/>
          <w:sz w:val="26"/>
          <w:szCs w:val="26"/>
        </w:rPr>
      </w:pPr>
      <w:r w:rsidRPr="00B54A96">
        <w:rPr>
          <w:rFonts w:ascii="Tahoma" w:hAnsi="Tahoma" w:cs="Tahoma"/>
          <w:sz w:val="26"/>
          <w:szCs w:val="26"/>
        </w:rPr>
        <w:t>Han de poder seleccionarse, consultarse, conservarse e intercambiarse en todo momento y por ello han de generarse de acuerdo con la Norma Técnica de Interoperabilidad porque puede que tengan que tener un valor probatorio en un juicio o que nos lo pidan los Órganos de Control Externo (Cámara de Cuentas, Tribunal de Cuentas, Intervención General del Estado IGAE, Intervención General de la Comunidad de Madrid IGCM) y han de poder estar a su disposición y ser válidos jurídicamente.</w:t>
      </w:r>
    </w:p>
    <w:p w:rsidR="007D2A7B" w:rsidRDefault="007D2A7B" w:rsidP="007D2A7B">
      <w:pPr>
        <w:spacing w:before="12"/>
        <w:jc w:val="both"/>
        <w:rPr>
          <w:rFonts w:ascii="Tahoma" w:hAnsi="Tahoma" w:cs="Tahoma"/>
          <w:sz w:val="26"/>
          <w:szCs w:val="26"/>
        </w:rPr>
      </w:pPr>
      <w:r>
        <w:rPr>
          <w:rFonts w:ascii="Tahoma" w:hAnsi="Tahoma" w:cs="Tahoma"/>
          <w:sz w:val="26"/>
          <w:szCs w:val="26"/>
        </w:rPr>
        <w:t>Como procesos de mejora en la gestión presupuestaria:</w:t>
      </w:r>
    </w:p>
    <w:p w:rsidR="007D2A7B" w:rsidRDefault="007D2A7B" w:rsidP="008F12D0">
      <w:pPr>
        <w:pStyle w:val="Prrafodelista"/>
        <w:numPr>
          <w:ilvl w:val="0"/>
          <w:numId w:val="4"/>
        </w:numPr>
        <w:spacing w:before="12" w:after="240"/>
        <w:ind w:left="714" w:hanging="357"/>
        <w:jc w:val="both"/>
        <w:rPr>
          <w:rFonts w:ascii="Tahoma" w:hAnsi="Tahoma" w:cs="Tahoma"/>
          <w:sz w:val="26"/>
          <w:szCs w:val="26"/>
        </w:rPr>
      </w:pPr>
      <w:r w:rsidRPr="007D2A7B">
        <w:rPr>
          <w:rFonts w:ascii="Tahoma" w:hAnsi="Tahoma" w:cs="Tahoma"/>
          <w:sz w:val="26"/>
          <w:szCs w:val="26"/>
        </w:rPr>
        <w:t>Se ha revisado la actual estructura orgánica del presupuesto para que se permita agrupar la información a fin de poder evaluar de una forma más efectiva la finalidad del gasto e incorpore objetivos cuantificados e identificados que permitan medir el grado de cumplimiento y la efectividad de los programas.</w:t>
      </w:r>
    </w:p>
    <w:p w:rsidR="007D2A7B" w:rsidRDefault="007D2A7B" w:rsidP="008F12D0">
      <w:pPr>
        <w:pStyle w:val="Prrafodelista"/>
        <w:numPr>
          <w:ilvl w:val="0"/>
          <w:numId w:val="4"/>
        </w:numPr>
        <w:spacing w:before="12" w:after="240"/>
        <w:ind w:left="714" w:hanging="357"/>
        <w:jc w:val="both"/>
        <w:rPr>
          <w:rFonts w:ascii="Tahoma" w:hAnsi="Tahoma" w:cs="Tahoma"/>
          <w:sz w:val="26"/>
          <w:szCs w:val="26"/>
        </w:rPr>
      </w:pPr>
      <w:r w:rsidRPr="007D2A7B">
        <w:rPr>
          <w:rFonts w:ascii="Tahoma" w:hAnsi="Tahoma" w:cs="Tahoma"/>
          <w:sz w:val="26"/>
          <w:szCs w:val="26"/>
        </w:rPr>
        <w:lastRenderedPageBreak/>
        <w:t xml:space="preserve">Se ha elaborado y actualizado nuevos procedimientos que permitan una mayor agilidad y eficiencia en su gestión </w:t>
      </w:r>
      <w:r w:rsidR="00F86C98">
        <w:rPr>
          <w:rFonts w:ascii="Tahoma" w:hAnsi="Tahoma" w:cs="Tahoma"/>
          <w:sz w:val="26"/>
          <w:szCs w:val="26"/>
        </w:rPr>
        <w:t xml:space="preserve">como </w:t>
      </w:r>
      <w:r w:rsidRPr="007D2A7B">
        <w:rPr>
          <w:rFonts w:ascii="Tahoma" w:hAnsi="Tahoma" w:cs="Tahoma"/>
          <w:sz w:val="26"/>
          <w:szCs w:val="26"/>
        </w:rPr>
        <w:t>gestión centralizada de las obras y revisión de procedimientos de gestión económica y de contratación para su traslación inmediata a las Normas de Ejecución 2020</w:t>
      </w:r>
    </w:p>
    <w:p w:rsidR="007D2A7B" w:rsidRPr="007D2A7B" w:rsidRDefault="007D2A7B" w:rsidP="00F86C98">
      <w:pPr>
        <w:pStyle w:val="Prrafodelista"/>
        <w:spacing w:before="12" w:after="240"/>
        <w:ind w:left="714"/>
        <w:jc w:val="both"/>
        <w:rPr>
          <w:rFonts w:ascii="Tahoma" w:hAnsi="Tahoma" w:cs="Tahoma"/>
          <w:sz w:val="26"/>
          <w:szCs w:val="26"/>
        </w:rPr>
      </w:pPr>
    </w:p>
    <w:sectPr w:rsidR="007D2A7B" w:rsidRPr="007D2A7B" w:rsidSect="00AD058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B06A0"/>
    <w:multiLevelType w:val="hybridMultilevel"/>
    <w:tmpl w:val="B442D33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 w15:restartNumberingAfterBreak="0">
    <w:nsid w:val="23926010"/>
    <w:multiLevelType w:val="hybridMultilevel"/>
    <w:tmpl w:val="E9D4138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4755"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64D86DB3"/>
    <w:multiLevelType w:val="hybridMultilevel"/>
    <w:tmpl w:val="A8DA2CE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 w15:restartNumberingAfterBreak="0">
    <w:nsid w:val="69F82C52"/>
    <w:multiLevelType w:val="hybridMultilevel"/>
    <w:tmpl w:val="E47CEB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8B9"/>
    <w:rsid w:val="000F7814"/>
    <w:rsid w:val="00204202"/>
    <w:rsid w:val="0026789F"/>
    <w:rsid w:val="00290DA7"/>
    <w:rsid w:val="00292E8D"/>
    <w:rsid w:val="00304F25"/>
    <w:rsid w:val="00335AC5"/>
    <w:rsid w:val="003B03C1"/>
    <w:rsid w:val="004509DC"/>
    <w:rsid w:val="00461B51"/>
    <w:rsid w:val="005C1768"/>
    <w:rsid w:val="005F1C93"/>
    <w:rsid w:val="00620508"/>
    <w:rsid w:val="00631281"/>
    <w:rsid w:val="006874CD"/>
    <w:rsid w:val="00717CBD"/>
    <w:rsid w:val="00737BE8"/>
    <w:rsid w:val="00752CF6"/>
    <w:rsid w:val="007C1B64"/>
    <w:rsid w:val="007D2A7B"/>
    <w:rsid w:val="007D7839"/>
    <w:rsid w:val="00826373"/>
    <w:rsid w:val="00831FE5"/>
    <w:rsid w:val="008D311E"/>
    <w:rsid w:val="008E55F0"/>
    <w:rsid w:val="008F12D0"/>
    <w:rsid w:val="00961597"/>
    <w:rsid w:val="009A645A"/>
    <w:rsid w:val="009C5D92"/>
    <w:rsid w:val="00AD058A"/>
    <w:rsid w:val="00AE0F1D"/>
    <w:rsid w:val="00B102D2"/>
    <w:rsid w:val="00B54A96"/>
    <w:rsid w:val="00BB568C"/>
    <w:rsid w:val="00C3269A"/>
    <w:rsid w:val="00CB6FD5"/>
    <w:rsid w:val="00CD55C9"/>
    <w:rsid w:val="00CE4242"/>
    <w:rsid w:val="00D30FE1"/>
    <w:rsid w:val="00D537BF"/>
    <w:rsid w:val="00DE4766"/>
    <w:rsid w:val="00EF08B9"/>
    <w:rsid w:val="00EF4C79"/>
    <w:rsid w:val="00F0433A"/>
    <w:rsid w:val="00F62BC7"/>
    <w:rsid w:val="00F66E4D"/>
    <w:rsid w:val="00F86C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9F99B8-B03A-46F6-BB83-9CA337EBC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26373"/>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1181</Words>
  <Characters>6497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 GISELA GONZALEZ ASTEINZA</cp:lastModifiedBy>
  <cp:revision>2</cp:revision>
  <dcterms:created xsi:type="dcterms:W3CDTF">2020-11-18T10:29:00Z</dcterms:created>
  <dcterms:modified xsi:type="dcterms:W3CDTF">2020-11-18T10:29:00Z</dcterms:modified>
</cp:coreProperties>
</file>