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CBF" w:rsidRPr="007B5CBF" w:rsidRDefault="007B5CBF" w:rsidP="007B5CBF">
      <w:pPr>
        <w:shd w:val="clear" w:color="auto" w:fill="FFFFFF"/>
        <w:spacing w:before="72" w:after="72" w:line="240" w:lineRule="auto"/>
        <w:jc w:val="center"/>
        <w:outlineLvl w:val="0"/>
        <w:rPr>
          <w:rFonts w:ascii="Times New Roman" w:eastAsia="Times New Roman" w:hAnsi="Times New Roman" w:cs="Times New Roman"/>
          <w:color w:val="454545"/>
          <w:kern w:val="36"/>
          <w:sz w:val="60"/>
          <w:szCs w:val="60"/>
          <w:lang w:val="fr-FR" w:eastAsia="es-ES"/>
        </w:rPr>
      </w:pPr>
      <w:r w:rsidRPr="007B5CBF">
        <w:rPr>
          <w:rFonts w:ascii="Times New Roman" w:eastAsia="Times New Roman" w:hAnsi="Times New Roman" w:cs="Times New Roman"/>
          <w:color w:val="454545"/>
          <w:kern w:val="36"/>
          <w:sz w:val="60"/>
          <w:szCs w:val="60"/>
          <w:lang w:val="fr-FR" w:eastAsia="es-ES"/>
        </w:rPr>
        <w:t>Voies d’accès</w:t>
      </w:r>
    </w:p>
    <w:p w:rsidR="007B5CBF" w:rsidRPr="007B5CBF" w:rsidRDefault="007B5CBF" w:rsidP="007B5CBF">
      <w:pPr>
        <w:shd w:val="clear" w:color="auto" w:fill="FFFFFF"/>
        <w:spacing w:before="72" w:after="72" w:line="240" w:lineRule="auto"/>
        <w:jc w:val="center"/>
        <w:outlineLvl w:val="0"/>
        <w:rPr>
          <w:rFonts w:ascii="Times New Roman" w:eastAsia="Times New Roman" w:hAnsi="Times New Roman" w:cs="Times New Roman"/>
          <w:color w:val="454545"/>
          <w:kern w:val="36"/>
          <w:sz w:val="60"/>
          <w:szCs w:val="60"/>
          <w:lang w:val="fr-FR" w:eastAsia="es-ES"/>
        </w:rPr>
      </w:pPr>
    </w:p>
    <w:p w:rsidR="007B5CBF" w:rsidRPr="007B5CBF" w:rsidRDefault="007B5CBF" w:rsidP="007B5CBF">
      <w:pPr>
        <w:shd w:val="clear" w:color="auto" w:fill="FFFFFF"/>
        <w:spacing w:before="72" w:after="72" w:line="240" w:lineRule="auto"/>
        <w:jc w:val="both"/>
        <w:outlineLvl w:val="1"/>
        <w:rPr>
          <w:rFonts w:ascii="Times New Roman" w:eastAsia="Times New Roman" w:hAnsi="Times New Roman" w:cs="Times New Roman"/>
          <w:color w:val="454545"/>
          <w:sz w:val="42"/>
          <w:szCs w:val="42"/>
          <w:lang w:val="fr-FR" w:eastAsia="es-ES"/>
        </w:rPr>
      </w:pPr>
      <w:r w:rsidRPr="007B5CBF">
        <w:rPr>
          <w:rFonts w:ascii="Times New Roman" w:eastAsia="Times New Roman" w:hAnsi="Times New Roman" w:cs="Times New Roman"/>
          <w:color w:val="454545"/>
          <w:sz w:val="42"/>
          <w:szCs w:val="42"/>
          <w:lang w:val="fr-FR" w:eastAsia="es-ES"/>
        </w:rPr>
        <w:t>Diplômes et autorisation</w:t>
      </w:r>
    </w:p>
    <w:p w:rsidR="007B5CBF" w:rsidRPr="007B5CBF" w:rsidRDefault="007B5CBF" w:rsidP="007B5CBF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ind w:hanging="357"/>
        <w:jc w:val="both"/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</w:pPr>
      <w:r w:rsidRPr="007B5CBF"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  <w:t xml:space="preserve">Être en possession des diplômes officiels espagnols de </w:t>
      </w:r>
      <w:r w:rsidRPr="007B5CBF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val="fr-FR" w:eastAsia="es-ES"/>
        </w:rPr>
        <w:t>Licence</w:t>
      </w:r>
      <w:r w:rsidRPr="007B5CBF"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  <w:t xml:space="preserve">, ou équivalent, et de </w:t>
      </w:r>
      <w:r w:rsidRPr="007B5CBF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val="fr-FR" w:eastAsia="es-ES"/>
        </w:rPr>
        <w:t>Maîtrise</w:t>
      </w:r>
      <w:r w:rsidRPr="007B5CBF"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  <w:t>, ou équivalent, et avoir réussi au moins 300 crédits ECTS dans l'ensemble des deux enseignements.</w:t>
      </w:r>
    </w:p>
    <w:p w:rsidR="007B5CBF" w:rsidRPr="007B5CBF" w:rsidRDefault="007B5CBF" w:rsidP="007B5CBF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ind w:hanging="357"/>
        <w:jc w:val="both"/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</w:pPr>
      <w:r w:rsidRPr="007B5CBF"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  <w:t>De même, pourront accéder ceux qui remplissent l'une des conditions suivantes :</w:t>
      </w:r>
    </w:p>
    <w:p w:rsidR="007B5CBF" w:rsidRPr="007B5CBF" w:rsidRDefault="007B5CBF" w:rsidP="007B5CBF">
      <w:pPr>
        <w:numPr>
          <w:ilvl w:val="1"/>
          <w:numId w:val="1"/>
        </w:numPr>
        <w:shd w:val="clear" w:color="auto" w:fill="FFFFFF"/>
        <w:spacing w:before="100" w:beforeAutospacing="1" w:after="120" w:line="240" w:lineRule="auto"/>
        <w:ind w:hanging="357"/>
        <w:jc w:val="both"/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</w:pPr>
      <w:r w:rsidRPr="007B5CBF"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  <w:t xml:space="preserve">Être en possession d’un diplôme universitaire officiel de </w:t>
      </w:r>
      <w:r w:rsidRPr="007B5CBF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val="fr-FR" w:eastAsia="es-ES"/>
        </w:rPr>
        <w:t xml:space="preserve">Licence, d'Architecte, Ingénieur ou Docteur, ou </w:t>
      </w:r>
      <w:hyperlink r:id="rId5" w:history="1">
        <w:r w:rsidRPr="007B5CBF">
          <w:rPr>
            <w:rStyle w:val="Hipervnculo"/>
            <w:rFonts w:ascii="Times New Roman" w:eastAsia="Times New Roman" w:hAnsi="Times New Roman" w:cs="Times New Roman"/>
            <w:b/>
            <w:bCs/>
            <w:sz w:val="24"/>
            <w:szCs w:val="24"/>
            <w:lang w:val="fr-FR" w:eastAsia="es-ES"/>
          </w:rPr>
          <w:t>équivalent</w:t>
        </w:r>
      </w:hyperlink>
      <w:r w:rsidRPr="007B5CBF">
        <w:rPr>
          <w:rFonts w:ascii="Times New Roman" w:eastAsia="Times New Roman" w:hAnsi="Times New Roman" w:cs="Times New Roman"/>
          <w:sz w:val="24"/>
          <w:szCs w:val="24"/>
          <w:lang w:val="fr-FR" w:eastAsia="es-ES"/>
        </w:rPr>
        <w:t>,</w:t>
      </w:r>
      <w:r w:rsidRPr="007B5CBF"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  <w:t xml:space="preserve"> délivré par une </w:t>
      </w:r>
      <w:r w:rsidRPr="007B5CBF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val="fr-FR" w:eastAsia="es-ES"/>
        </w:rPr>
        <w:t>université espagnole</w:t>
      </w:r>
      <w:r w:rsidRPr="007B5CBF"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  <w:t xml:space="preserve"> ou bien approuvé ou déclaré équivalent aux dits titres par le Ministère de l'Éducation, de la Culture et des Sports.</w:t>
      </w:r>
    </w:p>
    <w:p w:rsidR="007B5CBF" w:rsidRPr="007B5CBF" w:rsidRDefault="007B5CBF" w:rsidP="007B5CBF">
      <w:pPr>
        <w:numPr>
          <w:ilvl w:val="1"/>
          <w:numId w:val="1"/>
        </w:numPr>
        <w:shd w:val="clear" w:color="auto" w:fill="FFFFFF"/>
        <w:spacing w:before="100" w:beforeAutospacing="1" w:after="120" w:line="240" w:lineRule="auto"/>
        <w:ind w:hanging="357"/>
        <w:jc w:val="both"/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</w:pPr>
      <w:r w:rsidRPr="007B5CBF"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  <w:t xml:space="preserve">Être en possession d’un diplôme universitaire officiel espagnol, ou d'un autre pays faisant partie de l'Espace Européen de l'Enseignement Supérieur, </w:t>
      </w:r>
      <w:r w:rsidRPr="007B5CBF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val="fr-FR" w:eastAsia="es-ES"/>
        </w:rPr>
        <w:t>permettant l’accès au Master, après avoir réussi</w:t>
      </w:r>
      <w:r w:rsidRPr="007B5CBF"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  <w:t xml:space="preserve"> </w:t>
      </w:r>
      <w:r w:rsidRPr="007B5CBF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val="fr-FR" w:eastAsia="es-ES"/>
        </w:rPr>
        <w:t>un minimum de 300 crédits ECTS</w:t>
      </w:r>
      <w:r w:rsidRPr="007B5CBF"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  <w:t xml:space="preserve"> (sans qu’ils soient nécessairement reconnus) dans l'ensemble des études universitaires officielles, </w:t>
      </w:r>
      <w:r w:rsidRPr="007B5CBF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val="fr-FR" w:eastAsia="es-ES"/>
        </w:rPr>
        <w:t>dont au moins 60 doivent être de Master</w:t>
      </w:r>
      <w:r w:rsidRPr="007B5CBF"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  <w:t>.</w:t>
      </w:r>
    </w:p>
    <w:p w:rsidR="007B5CBF" w:rsidRPr="007B5CBF" w:rsidRDefault="007B5CBF" w:rsidP="007B5CBF">
      <w:pPr>
        <w:numPr>
          <w:ilvl w:val="1"/>
          <w:numId w:val="1"/>
        </w:numPr>
        <w:shd w:val="clear" w:color="auto" w:fill="FFFFFF"/>
        <w:spacing w:before="100" w:beforeAutospacing="1" w:after="120" w:line="240" w:lineRule="auto"/>
        <w:ind w:hanging="357"/>
        <w:jc w:val="both"/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</w:pPr>
      <w:r w:rsidRPr="007B5CBF"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  <w:t xml:space="preserve">Être en possession d’un diplôme officiel espagnol de </w:t>
      </w:r>
      <w:r w:rsidRPr="007B5CBF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val="fr-FR" w:eastAsia="es-ES"/>
        </w:rPr>
        <w:t>Licence</w:t>
      </w:r>
      <w:r w:rsidRPr="007B5CBF"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  <w:t xml:space="preserve"> dont la durée est </w:t>
      </w:r>
      <w:r w:rsidRPr="007B5CBF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val="fr-FR" w:eastAsia="es-ES"/>
        </w:rPr>
        <w:t>d'au moins 300 crédits ECTS</w:t>
      </w:r>
      <w:r w:rsidRPr="007B5CBF"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  <w:t>, selon les normes du droit communautaire.</w:t>
      </w:r>
    </w:p>
    <w:p w:rsidR="007B5CBF" w:rsidRPr="007B5CBF" w:rsidRDefault="007B5CBF" w:rsidP="007B5CBF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ind w:hanging="357"/>
        <w:jc w:val="both"/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</w:pPr>
      <w:r w:rsidRPr="007B5CBF"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  <w:t xml:space="preserve">Obtenir un diplôme conformément aux </w:t>
      </w:r>
      <w:r w:rsidRPr="007B5CBF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val="fr-FR" w:eastAsia="es-ES"/>
        </w:rPr>
        <w:t>s</w:t>
      </w:r>
      <w:r w:rsidRPr="007B5CBF">
        <w:rPr>
          <w:rFonts w:ascii="Times New Roman" w:eastAsia="Times New Roman" w:hAnsi="Times New Roman" w:cs="Times New Roman"/>
          <w:bCs/>
          <w:color w:val="454545"/>
          <w:sz w:val="24"/>
          <w:szCs w:val="24"/>
          <w:lang w:val="fr-FR" w:eastAsia="es-ES"/>
        </w:rPr>
        <w:t xml:space="preserve">ystèmes d'enseignement </w:t>
      </w:r>
      <w:r w:rsidRPr="007B5CBF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val="fr-FR" w:eastAsia="es-ES"/>
        </w:rPr>
        <w:t>en dehors de l'Espace Européen de l'Enseignement Supérieur</w:t>
      </w:r>
      <w:r w:rsidRPr="007B5CBF"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  <w:t>, sans nécessité d'homologation,</w:t>
      </w:r>
      <w:r w:rsidRPr="007B5CBF">
        <w:rPr>
          <w:rFonts w:ascii="Times New Roman" w:eastAsia="Times New Roman" w:hAnsi="Times New Roman" w:cs="Times New Roman"/>
          <w:b/>
          <w:sz w:val="24"/>
          <w:szCs w:val="24"/>
          <w:lang w:val="fr-FR" w:eastAsia="es-ES"/>
        </w:rPr>
        <w:t xml:space="preserve"> </w:t>
      </w:r>
      <w:hyperlink r:id="rId6" w:history="1">
        <w:r w:rsidRPr="007B5CBF">
          <w:rPr>
            <w:rStyle w:val="Hipervnculo"/>
            <w:rFonts w:ascii="Times New Roman" w:eastAsia="Times New Roman" w:hAnsi="Times New Roman" w:cs="Times New Roman"/>
            <w:b/>
            <w:bCs/>
            <w:sz w:val="24"/>
            <w:szCs w:val="24"/>
            <w:lang w:val="fr-FR" w:eastAsia="es-ES"/>
          </w:rPr>
          <w:t>autorisation rectorale</w:t>
        </w:r>
      </w:hyperlink>
      <w:r w:rsidRPr="007B5CBF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val="fr-FR" w:eastAsia="es-ES"/>
        </w:rPr>
        <w:t xml:space="preserve"> préalable</w:t>
      </w:r>
      <w:r w:rsidRPr="007B5CBF"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  <w:t xml:space="preserve"> (vérification par l'université que le niveau de formation est équivalent à celui du diplôme officiel de Master et qu'il autorise l’accès à un doctorat dans le pays d’émission).</w:t>
      </w:r>
    </w:p>
    <w:p w:rsidR="007B5CBF" w:rsidRPr="007B5CBF" w:rsidRDefault="007B5CBF" w:rsidP="007B5CBF">
      <w:pPr>
        <w:shd w:val="clear" w:color="auto" w:fill="FFFFFF"/>
        <w:spacing w:after="120" w:line="240" w:lineRule="auto"/>
        <w:ind w:left="1418" w:firstLine="284"/>
        <w:jc w:val="both"/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</w:pPr>
      <w:r w:rsidRPr="007B5CBF"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  <w:t>Ces étudiants pourront demander l’admission dans les délais indiqués dans l'appel d'admission, en joignant le reçu de demande l'autorisation.</w:t>
      </w:r>
    </w:p>
    <w:p w:rsidR="007B5CBF" w:rsidRPr="007B5CBF" w:rsidRDefault="007B5CBF" w:rsidP="007B5CBF">
      <w:pPr>
        <w:numPr>
          <w:ilvl w:val="1"/>
          <w:numId w:val="1"/>
        </w:numPr>
        <w:shd w:val="clear" w:color="auto" w:fill="FFFFFF"/>
        <w:spacing w:after="120" w:line="24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val="fr-FR" w:eastAsia="es-ES"/>
        </w:rPr>
      </w:pPr>
      <w:r w:rsidRPr="007B5CBF"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  <w:t xml:space="preserve">Être en possession d’un </w:t>
      </w:r>
      <w:r w:rsidRPr="007B5CBF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val="fr-FR" w:eastAsia="es-ES"/>
        </w:rPr>
        <w:t>diplôme d'Études Avancées</w:t>
      </w:r>
      <w:r w:rsidRPr="007B5CBF"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  <w:t xml:space="preserve"> obtenu conformément aux dispositions du décret </w:t>
      </w:r>
      <w:hyperlink r:id="rId7" w:history="1">
        <w:r w:rsidRPr="007B5CBF">
          <w:rPr>
            <w:rStyle w:val="Hipervnculo"/>
            <w:rFonts w:ascii="Times New Roman" w:eastAsia="Times New Roman" w:hAnsi="Times New Roman" w:cs="Times New Roman"/>
            <w:sz w:val="24"/>
            <w:szCs w:val="24"/>
            <w:lang w:val="fr-FR" w:eastAsia="es-ES"/>
          </w:rPr>
          <w:t>RD 778/1998 du 30 avril</w:t>
        </w:r>
      </w:hyperlink>
      <w:r w:rsidRPr="007B5CBF">
        <w:rPr>
          <w:rFonts w:ascii="Times New Roman" w:eastAsia="Times New Roman" w:hAnsi="Times New Roman" w:cs="Times New Roman"/>
          <w:sz w:val="24"/>
          <w:szCs w:val="24"/>
          <w:lang w:val="fr-FR" w:eastAsia="es-ES"/>
        </w:rPr>
        <w:t xml:space="preserve">, ou avoir atteint la </w:t>
      </w:r>
      <w:r w:rsidRPr="007B5CBF">
        <w:rPr>
          <w:rFonts w:ascii="Times New Roman" w:eastAsia="Times New Roman" w:hAnsi="Times New Roman" w:cs="Times New Roman"/>
          <w:b/>
          <w:bCs/>
          <w:sz w:val="24"/>
          <w:szCs w:val="24"/>
          <w:lang w:val="fr-FR" w:eastAsia="es-ES"/>
        </w:rPr>
        <w:t>suffisance d'investigation</w:t>
      </w:r>
      <w:r w:rsidRPr="007B5CBF">
        <w:rPr>
          <w:rFonts w:ascii="Times New Roman" w:eastAsia="Times New Roman" w:hAnsi="Times New Roman" w:cs="Times New Roman"/>
          <w:sz w:val="24"/>
          <w:szCs w:val="24"/>
          <w:lang w:val="fr-FR" w:eastAsia="es-ES"/>
        </w:rPr>
        <w:t xml:space="preserve"> réglementée par le </w:t>
      </w:r>
      <w:hyperlink r:id="rId8" w:history="1">
        <w:r w:rsidRPr="007B5CBF">
          <w:rPr>
            <w:rStyle w:val="Hipervnculo"/>
            <w:rFonts w:ascii="Times New Roman" w:eastAsia="Times New Roman" w:hAnsi="Times New Roman" w:cs="Times New Roman"/>
            <w:sz w:val="24"/>
            <w:szCs w:val="24"/>
            <w:lang w:val="fr-FR" w:eastAsia="es-ES"/>
          </w:rPr>
          <w:t>décret RD 185/1985 du 23 janvier</w:t>
        </w:r>
      </w:hyperlink>
      <w:r w:rsidRPr="007B5CBF">
        <w:rPr>
          <w:rFonts w:ascii="Times New Roman" w:eastAsia="Times New Roman" w:hAnsi="Times New Roman" w:cs="Times New Roman"/>
          <w:sz w:val="24"/>
          <w:szCs w:val="24"/>
          <w:lang w:val="fr-FR" w:eastAsia="es-ES"/>
        </w:rPr>
        <w:t>.</w:t>
      </w:r>
    </w:p>
    <w:p w:rsidR="007B5CBF" w:rsidRPr="007B5CBF" w:rsidRDefault="007B5CBF" w:rsidP="007B5CBF">
      <w:pPr>
        <w:numPr>
          <w:ilvl w:val="1"/>
          <w:numId w:val="1"/>
        </w:numPr>
        <w:shd w:val="clear" w:color="auto" w:fill="FFFFFF"/>
        <w:spacing w:before="100" w:beforeAutospacing="1" w:after="120" w:line="240" w:lineRule="auto"/>
        <w:ind w:hanging="357"/>
        <w:jc w:val="both"/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</w:pPr>
      <w:r w:rsidRPr="007B5CBF"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  <w:t xml:space="preserve">Poursuivre un </w:t>
      </w:r>
      <w:r w:rsidRPr="007B5CBF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val="fr-FR" w:eastAsia="es-ES"/>
        </w:rPr>
        <w:t>cursus universitaire officiel espagnol permettant l’accès à un doctorat</w:t>
      </w:r>
      <w:r w:rsidRPr="007B5CBF"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  <w:t xml:space="preserve">, et être en mesure de </w:t>
      </w:r>
      <w:r w:rsidRPr="007B5CBF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val="fr-FR" w:eastAsia="es-ES"/>
        </w:rPr>
        <w:t>l'accréditer un mois et demi après inscription et avant le 30 novembre</w:t>
      </w:r>
      <w:r w:rsidRPr="007B5CBF"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  <w:t xml:space="preserve"> de l’année académique.</w:t>
      </w:r>
    </w:p>
    <w:p w:rsidR="007B5CBF" w:rsidRPr="007B5CBF" w:rsidRDefault="007B5CBF" w:rsidP="007B5CBF">
      <w:pPr>
        <w:numPr>
          <w:ilvl w:val="1"/>
          <w:numId w:val="1"/>
        </w:numPr>
        <w:shd w:val="clear" w:color="auto" w:fill="FFFFFF"/>
        <w:spacing w:before="100" w:beforeAutospacing="1" w:after="120" w:line="240" w:lineRule="auto"/>
        <w:ind w:hanging="357"/>
        <w:jc w:val="both"/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</w:pPr>
      <w:r w:rsidRPr="007B5CBF"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  <w:t xml:space="preserve">Être en possession d’un diplôme universitaire officiel ayant obtenu la </w:t>
      </w:r>
      <w:r w:rsidRPr="007B5CBF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val="fr-FR" w:eastAsia="es-ES"/>
        </w:rPr>
        <w:t>correspondance au niveau 3 du Cadre Espagnol de Qualifications pour l'Enseignement Supérieur</w:t>
      </w:r>
      <w:r w:rsidRPr="007B5CBF"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  <w:t>.</w:t>
      </w:r>
    </w:p>
    <w:p w:rsidR="007B5CBF" w:rsidRPr="007B5CBF" w:rsidRDefault="007B5CBF" w:rsidP="007B5CBF">
      <w:pPr>
        <w:shd w:val="clear" w:color="auto" w:fill="FFFFFF"/>
        <w:spacing w:before="72" w:after="72" w:line="240" w:lineRule="auto"/>
        <w:jc w:val="both"/>
        <w:outlineLvl w:val="1"/>
        <w:rPr>
          <w:rFonts w:ascii="Times New Roman" w:eastAsia="Times New Roman" w:hAnsi="Times New Roman" w:cs="Times New Roman"/>
          <w:color w:val="454545"/>
          <w:sz w:val="42"/>
          <w:szCs w:val="42"/>
          <w:lang w:val="fr-FR" w:eastAsia="es-ES"/>
        </w:rPr>
      </w:pPr>
      <w:r w:rsidRPr="007B5CBF">
        <w:rPr>
          <w:rFonts w:ascii="Times New Roman" w:eastAsia="Times New Roman" w:hAnsi="Times New Roman" w:cs="Times New Roman"/>
          <w:color w:val="454545"/>
          <w:sz w:val="42"/>
          <w:szCs w:val="42"/>
          <w:lang w:val="fr-FR" w:eastAsia="es-ES"/>
        </w:rPr>
        <w:lastRenderedPageBreak/>
        <w:t>Accès au programme d'études françaises, DEF-UCM</w:t>
      </w:r>
    </w:p>
    <w:p w:rsidR="007B5CBF" w:rsidRPr="007B5CBF" w:rsidRDefault="007B5CBF" w:rsidP="007B5CBF">
      <w:pPr>
        <w:shd w:val="clear" w:color="auto" w:fill="FFFFFF"/>
        <w:spacing w:before="100" w:beforeAutospacing="1" w:after="150" w:afterAutospacing="1" w:line="240" w:lineRule="auto"/>
        <w:jc w:val="both"/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</w:pPr>
      <w:r w:rsidRPr="007B5CBF"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  <w:t>Il existe 3 profils d'accès.</w:t>
      </w:r>
      <w:bookmarkStart w:id="0" w:name="_GoBack"/>
      <w:bookmarkEnd w:id="0"/>
    </w:p>
    <w:p w:rsidR="007B5CBF" w:rsidRPr="007B5CBF" w:rsidRDefault="007B5CBF" w:rsidP="007B5CBF">
      <w:pPr>
        <w:shd w:val="clear" w:color="auto" w:fill="FFFFFF"/>
        <w:spacing w:before="100" w:beforeAutospacing="1" w:after="150" w:afterAutospacing="1" w:line="240" w:lineRule="auto"/>
        <w:jc w:val="both"/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</w:pPr>
      <w:r w:rsidRPr="007B5CBF"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  <w:t xml:space="preserve">Certains programmes prévoient l'obligation de </w:t>
      </w:r>
      <w:r w:rsidRPr="007B5CBF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val="fr-FR" w:eastAsia="es-ES"/>
        </w:rPr>
        <w:t>réussir des suppléments de formation</w:t>
      </w:r>
      <w:r w:rsidRPr="007B5CBF"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  <w:t>, qui seront déterminés par le Comité Académique du programme, en fonction du profil d'accès de l'étudiant.</w:t>
      </w:r>
    </w:p>
    <w:p w:rsidR="00A07D7A" w:rsidRPr="007B5CBF" w:rsidRDefault="007B5CBF" w:rsidP="007B5CBF">
      <w:pPr>
        <w:shd w:val="clear" w:color="auto" w:fill="FFFFFF"/>
        <w:spacing w:before="100" w:beforeAutospacing="1" w:after="150" w:afterAutospacing="1" w:line="240" w:lineRule="auto"/>
        <w:jc w:val="both"/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</w:pPr>
      <w:r w:rsidRPr="007B5CBF"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  <w:t xml:space="preserve">Certains programmes ont également des </w:t>
      </w:r>
      <w:r w:rsidRPr="007B5CBF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val="fr-FR" w:eastAsia="es-ES"/>
        </w:rPr>
        <w:t>conditions d'admission spécifiques</w:t>
      </w:r>
      <w:r w:rsidRPr="007B5CBF">
        <w:rPr>
          <w:rFonts w:ascii="Times New Roman" w:eastAsia="Times New Roman" w:hAnsi="Times New Roman" w:cs="Times New Roman"/>
          <w:color w:val="454545"/>
          <w:sz w:val="24"/>
          <w:szCs w:val="24"/>
          <w:lang w:val="fr-FR" w:eastAsia="es-ES"/>
        </w:rPr>
        <w:t xml:space="preserve"> pouvant être consultées sur le site Web de chaque programme.</w:t>
      </w:r>
    </w:p>
    <w:sectPr w:rsidR="00A07D7A" w:rsidRPr="007B5CBF" w:rsidSect="00A07D7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77FC1"/>
    <w:multiLevelType w:val="multilevel"/>
    <w:tmpl w:val="B59A6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B5CBF"/>
    <w:rsid w:val="00684940"/>
    <w:rsid w:val="00724ADD"/>
    <w:rsid w:val="007B5CBF"/>
    <w:rsid w:val="00A07D7A"/>
    <w:rsid w:val="00B24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CBF"/>
    <w:pPr>
      <w:spacing w:after="160" w:line="259" w:lineRule="auto"/>
      <w:ind w:firstLine="0"/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B5CB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oe/dias/1985/02/16/pdfs/A03947-03953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oe.es/boe/dias/1998/05/01/pdfs/A14688-14696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octorado.ucm.es/informacion-adicional-para-alumnos-con-estudios-extranjeros" TargetMode="External"/><Relationship Id="rId5" Type="http://schemas.openxmlformats.org/officeDocument/2006/relationships/hyperlink" Target="https://edoctorado.ucm.es/equiparacion-titulo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2460</Characters>
  <Application>Microsoft Office Word</Application>
  <DocSecurity>0</DocSecurity>
  <Lines>20</Lines>
  <Paragraphs>5</Paragraphs>
  <ScaleCrop>false</ScaleCrop>
  <Company/>
  <LinksUpToDate>false</LinksUpToDate>
  <CharactersWithSpaces>2902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Ariadna</dc:creator>
  <cp:lastModifiedBy>Ariadna</cp:lastModifiedBy>
  <cp:revision>1</cp:revision>
  <dcterms:created xsi:type="dcterms:W3CDTF">2020-05-22T20:21:00Z</dcterms:created>
  <dcterms:modified xsi:type="dcterms:W3CDTF">2020-05-22T20:22:00Z</dcterms:modified>
</cp:coreProperties>
</file>