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COMUNICACIÓN / PÓSTER: Comunicación</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Título: De la puesta en escena al montaje de la obra audiovisual. Una metodología para el aprendizaje, el análisis y la creación a través de herramientas interactivas y un entorno WEB.</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Ponente: Javier Ramírez Serrano.</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Facultad: CC. De la Información</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 xml:space="preserve">Autor o autores: Laia Falcón Aguado, Javier Ramírez Serrano, Rubén Higueras Flores, Ana González Casero, José Luis López Sangüesa, Esther Pérez Nieto, Sara Jiménez Rodríguez y Rafael Rodríguez </w:t>
      </w:r>
      <w:proofErr w:type="spellStart"/>
      <w:r>
        <w:rPr>
          <w:rFonts w:ascii="Arial" w:hAnsi="Arial" w:cs="Arial"/>
          <w:color w:val="1A1A1A"/>
          <w:sz w:val="25"/>
          <w:szCs w:val="25"/>
          <w:lang w:val="es-ES"/>
        </w:rPr>
        <w:t>Tranche</w:t>
      </w:r>
      <w:proofErr w:type="spellEnd"/>
      <w:r>
        <w:rPr>
          <w:rFonts w:ascii="Arial" w:hAnsi="Arial" w:cs="Arial"/>
          <w:color w:val="1A1A1A"/>
          <w:sz w:val="25"/>
          <w:szCs w:val="25"/>
          <w:lang w:val="es-ES"/>
        </w:rPr>
        <w:t>.</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Otros datos:</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 xml:space="preserve">Correo de contacto: </w:t>
      </w:r>
      <w:hyperlink r:id="rId5" w:history="1">
        <w:r>
          <w:rPr>
            <w:rFonts w:ascii="Arial" w:hAnsi="Arial" w:cs="Arial"/>
            <w:color w:val="103CC0"/>
            <w:sz w:val="25"/>
            <w:szCs w:val="25"/>
            <w:u w:val="single" w:color="103CC0"/>
            <w:lang w:val="es-ES"/>
          </w:rPr>
          <w:t>javierramirezserrano@ucm.es</w:t>
        </w:r>
      </w:hyperlink>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Línea temática: Entorno digital e investigación.</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Grupo de investigación UCM:</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 xml:space="preserve">Director del Grupo UCM: Rafael Rodríguez </w:t>
      </w:r>
      <w:proofErr w:type="spellStart"/>
      <w:r>
        <w:rPr>
          <w:rFonts w:ascii="Arial" w:hAnsi="Arial" w:cs="Arial"/>
          <w:color w:val="1A1A1A"/>
          <w:sz w:val="25"/>
          <w:szCs w:val="25"/>
          <w:lang w:val="es-ES"/>
        </w:rPr>
        <w:t>Tranche</w:t>
      </w:r>
      <w:proofErr w:type="spellEnd"/>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Otros grupos de investigación:</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Proyecto/s de investigación: Proyecto de innovación Innova-Docencia.</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 xml:space="preserve">Resumen: </w:t>
      </w:r>
    </w:p>
    <w:p w:rsidR="000B2833" w:rsidRDefault="000B2833" w:rsidP="000B2833">
      <w:pPr>
        <w:widowControl w:val="0"/>
        <w:autoSpaceDE w:val="0"/>
        <w:autoSpaceDN w:val="0"/>
        <w:adjustRightInd w:val="0"/>
        <w:spacing w:after="0"/>
        <w:rPr>
          <w:rFonts w:ascii="Arial" w:hAnsi="Arial" w:cs="Arial"/>
          <w:color w:val="1A1A1A"/>
          <w:sz w:val="25"/>
          <w:szCs w:val="25"/>
          <w:lang w:val="es-ES"/>
        </w:rPr>
      </w:pPr>
    </w:p>
    <w:p w:rsidR="000B2833" w:rsidRDefault="000B2833" w:rsidP="000B2833">
      <w:pPr>
        <w:widowControl w:val="0"/>
        <w:autoSpaceDE w:val="0"/>
        <w:autoSpaceDN w:val="0"/>
        <w:adjustRightInd w:val="0"/>
        <w:spacing w:after="0"/>
        <w:rPr>
          <w:rFonts w:ascii="Arial" w:hAnsi="Arial" w:cs="Arial"/>
          <w:color w:val="1A1A1A"/>
          <w:sz w:val="25"/>
          <w:szCs w:val="25"/>
          <w:lang w:val="es-ES"/>
        </w:rPr>
      </w:pPr>
      <w:r>
        <w:rPr>
          <w:rFonts w:ascii="Arial" w:hAnsi="Arial" w:cs="Arial"/>
          <w:color w:val="1A1A1A"/>
          <w:sz w:val="25"/>
          <w:szCs w:val="25"/>
          <w:lang w:val="es-ES"/>
        </w:rPr>
        <w:t>Uno de los mayores retos a los que se enfrentan los docentes de los Medios Audiovisuales y de las TIC en el ámbito universitario es introducir con rigor académico al alumnado en los procesos creativos. Es decir, dotarles de conocimientos y herramientas para que puedan reflexionar sobre las obras de los grandes creadores audiovisuales y realizar las suyas propias (en la línea de otras disciplinas equivalentes como las Bellas Artes o la Arquitectura). La cuestión es compleja, dado que no hay reglas, procedimientos o métodos que garanticen la adecuada elaboración de los discursos audiovisuales. Es más, en muchos casos, podemos transmitir la mecánica, los pasos pero sin lograr despertar la originalidad o la creatividad que anida en todo ser humano. Pero esta es solo es una dimensión del problema que, en el mejor de lo casos, solo nos llevaría al aprendizaje del oficio en la tradición de las escuelas de cine o los centros de capacitación profesional. Debemos situar esta reflexión dentro de un marco epistemológico que permita conjugar la ejercitación de la praxis audiovisual con enfoques teóricos, históricos y analíticos. De hecho, la práctica cinematográfica ha generado una fecunda tradición de estudios teóricos y ensayos (</w:t>
      </w:r>
      <w:proofErr w:type="spellStart"/>
      <w:r>
        <w:rPr>
          <w:rFonts w:ascii="Arial" w:hAnsi="Arial" w:cs="Arial"/>
          <w:color w:val="1A1A1A"/>
          <w:sz w:val="25"/>
          <w:szCs w:val="25"/>
          <w:lang w:val="es-ES"/>
        </w:rPr>
        <w:t>Eisenstein</w:t>
      </w:r>
      <w:proofErr w:type="spellEnd"/>
      <w:r>
        <w:rPr>
          <w:rFonts w:ascii="Arial" w:hAnsi="Arial" w:cs="Arial"/>
          <w:color w:val="1A1A1A"/>
          <w:sz w:val="25"/>
          <w:szCs w:val="25"/>
          <w:lang w:val="es-ES"/>
        </w:rPr>
        <w:t xml:space="preserve">, </w:t>
      </w:r>
      <w:proofErr w:type="spellStart"/>
      <w:r>
        <w:rPr>
          <w:rFonts w:ascii="Arial" w:hAnsi="Arial" w:cs="Arial"/>
          <w:color w:val="1A1A1A"/>
          <w:sz w:val="25"/>
          <w:szCs w:val="25"/>
          <w:lang w:val="es-ES"/>
        </w:rPr>
        <w:t>Bazin</w:t>
      </w:r>
      <w:proofErr w:type="spellEnd"/>
      <w:r>
        <w:rPr>
          <w:rFonts w:ascii="Arial" w:hAnsi="Arial" w:cs="Arial"/>
          <w:color w:val="1A1A1A"/>
          <w:sz w:val="25"/>
          <w:szCs w:val="25"/>
          <w:lang w:val="es-ES"/>
        </w:rPr>
        <w:t xml:space="preserve">, </w:t>
      </w:r>
      <w:proofErr w:type="spellStart"/>
      <w:r>
        <w:rPr>
          <w:rFonts w:ascii="Arial" w:hAnsi="Arial" w:cs="Arial"/>
          <w:color w:val="1A1A1A"/>
          <w:sz w:val="25"/>
          <w:szCs w:val="25"/>
          <w:lang w:val="es-ES"/>
        </w:rPr>
        <w:t>Mitry</w:t>
      </w:r>
      <w:proofErr w:type="spellEnd"/>
      <w:r>
        <w:rPr>
          <w:rFonts w:ascii="Arial" w:hAnsi="Arial" w:cs="Arial"/>
          <w:color w:val="1A1A1A"/>
          <w:sz w:val="25"/>
          <w:szCs w:val="25"/>
          <w:lang w:val="es-ES"/>
        </w:rPr>
        <w:t xml:space="preserve">, </w:t>
      </w:r>
      <w:proofErr w:type="spellStart"/>
      <w:r>
        <w:rPr>
          <w:rFonts w:ascii="Arial" w:hAnsi="Arial" w:cs="Arial"/>
          <w:color w:val="1A1A1A"/>
          <w:sz w:val="25"/>
          <w:szCs w:val="25"/>
          <w:lang w:val="es-ES"/>
        </w:rPr>
        <w:t>Bordwell</w:t>
      </w:r>
      <w:proofErr w:type="spellEnd"/>
      <w:r>
        <w:rPr>
          <w:rFonts w:ascii="Arial" w:hAnsi="Arial" w:cs="Arial"/>
          <w:color w:val="1A1A1A"/>
          <w:sz w:val="25"/>
          <w:szCs w:val="25"/>
          <w:lang w:val="es-ES"/>
        </w:rPr>
        <w:t xml:space="preserve">, </w:t>
      </w:r>
      <w:proofErr w:type="spellStart"/>
      <w:r>
        <w:rPr>
          <w:rFonts w:ascii="Arial" w:hAnsi="Arial" w:cs="Arial"/>
          <w:color w:val="1A1A1A"/>
          <w:sz w:val="25"/>
          <w:szCs w:val="25"/>
          <w:lang w:val="es-ES"/>
        </w:rPr>
        <w:t>Burch</w:t>
      </w:r>
      <w:proofErr w:type="spellEnd"/>
      <w:r>
        <w:rPr>
          <w:rFonts w:ascii="Arial" w:hAnsi="Arial" w:cs="Arial"/>
          <w:color w:val="1A1A1A"/>
          <w:sz w:val="25"/>
          <w:szCs w:val="25"/>
          <w:lang w:val="es-ES"/>
        </w:rPr>
        <w:t xml:space="preserve">, </w:t>
      </w:r>
      <w:proofErr w:type="spellStart"/>
      <w:r>
        <w:rPr>
          <w:rFonts w:ascii="Arial" w:hAnsi="Arial" w:cs="Arial"/>
          <w:color w:val="1A1A1A"/>
          <w:sz w:val="25"/>
          <w:szCs w:val="25"/>
          <w:lang w:val="es-ES"/>
        </w:rPr>
        <w:t>Deleuze</w:t>
      </w:r>
      <w:proofErr w:type="spellEnd"/>
      <w:r>
        <w:rPr>
          <w:rFonts w:ascii="Arial" w:hAnsi="Arial" w:cs="Arial"/>
          <w:color w:val="1A1A1A"/>
          <w:sz w:val="25"/>
          <w:szCs w:val="25"/>
          <w:lang w:val="es-ES"/>
        </w:rPr>
        <w:t xml:space="preserve">, </w:t>
      </w:r>
      <w:proofErr w:type="spellStart"/>
      <w:r>
        <w:rPr>
          <w:rFonts w:ascii="Arial" w:hAnsi="Arial" w:cs="Arial"/>
          <w:color w:val="1A1A1A"/>
          <w:sz w:val="25"/>
          <w:szCs w:val="25"/>
          <w:lang w:val="es-ES"/>
        </w:rPr>
        <w:t>Aumont</w:t>
      </w:r>
      <w:proofErr w:type="spellEnd"/>
      <w:r>
        <w:rPr>
          <w:rFonts w:ascii="Arial" w:hAnsi="Arial" w:cs="Arial"/>
          <w:color w:val="1A1A1A"/>
          <w:sz w:val="25"/>
          <w:szCs w:val="25"/>
          <w:lang w:val="es-ES"/>
        </w:rPr>
        <w:t xml:space="preserve">, </w:t>
      </w:r>
      <w:proofErr w:type="spellStart"/>
      <w:r>
        <w:rPr>
          <w:rFonts w:ascii="Arial" w:hAnsi="Arial" w:cs="Arial"/>
          <w:color w:val="1A1A1A"/>
          <w:sz w:val="25"/>
          <w:szCs w:val="25"/>
          <w:lang w:val="es-ES"/>
        </w:rPr>
        <w:lastRenderedPageBreak/>
        <w:t>Gunning</w:t>
      </w:r>
      <w:proofErr w:type="spellEnd"/>
      <w:r>
        <w:rPr>
          <w:rFonts w:ascii="Arial" w:hAnsi="Arial" w:cs="Arial"/>
          <w:color w:val="1A1A1A"/>
          <w:sz w:val="25"/>
          <w:szCs w:val="25"/>
          <w:lang w:val="es-ES"/>
        </w:rPr>
        <w:t xml:space="preserve">, </w:t>
      </w:r>
      <w:proofErr w:type="spellStart"/>
      <w:r>
        <w:rPr>
          <w:rFonts w:ascii="Arial" w:hAnsi="Arial" w:cs="Arial"/>
          <w:color w:val="1A1A1A"/>
          <w:sz w:val="25"/>
          <w:szCs w:val="25"/>
          <w:lang w:val="es-ES"/>
        </w:rPr>
        <w:t>Casetti</w:t>
      </w:r>
      <w:proofErr w:type="spellEnd"/>
      <w:r>
        <w:rPr>
          <w:rFonts w:ascii="Arial" w:hAnsi="Arial" w:cs="Arial"/>
          <w:color w:val="1A1A1A"/>
          <w:sz w:val="25"/>
          <w:szCs w:val="25"/>
          <w:lang w:val="es-ES"/>
        </w:rPr>
        <w:t>, Sánchez-</w:t>
      </w:r>
      <w:proofErr w:type="spellStart"/>
      <w:r>
        <w:rPr>
          <w:rFonts w:ascii="Arial" w:hAnsi="Arial" w:cs="Arial"/>
          <w:color w:val="1A1A1A"/>
          <w:sz w:val="25"/>
          <w:szCs w:val="25"/>
          <w:lang w:val="es-ES"/>
        </w:rPr>
        <w:t>Biosca</w:t>
      </w:r>
      <w:proofErr w:type="spellEnd"/>
      <w:r>
        <w:rPr>
          <w:rFonts w:ascii="Arial" w:hAnsi="Arial" w:cs="Arial"/>
          <w:color w:val="1A1A1A"/>
          <w:sz w:val="25"/>
          <w:szCs w:val="25"/>
          <w:lang w:val="es-ES"/>
        </w:rPr>
        <w:t>…) sobre la naturaleza de sus procedimientos estéticos y formales. Precisamente, hay dos momentos de ese proceso creativo que comportan una especial carga reflexiva y han centrado buena parte de los estudios mencionados: el trasvase de la formulación escrita (guion literario) a las soluciones audiovisuales y su reconfiguración definitiva a través del montaje. En estas dos fases, estrechamente ligadas, se sitúa el objetivo central de nuestro proyecto, dado que es donde se dirimen y sustancian los mayores retos a los que se enfrenta la elaboración de una obra audiovisual y, desde el punto de vista de su estudio y</w:t>
      </w:r>
    </w:p>
    <w:p w:rsidR="00BE75AA" w:rsidRDefault="000B2833" w:rsidP="000B2833">
      <w:r>
        <w:rPr>
          <w:rFonts w:ascii="Arial" w:hAnsi="Arial" w:cs="Arial"/>
          <w:color w:val="1A1A1A"/>
          <w:sz w:val="25"/>
          <w:szCs w:val="25"/>
          <w:lang w:val="es-ES"/>
        </w:rPr>
        <w:t xml:space="preserve">análisis, su elucidación. En concreto, la investigación plantea un método de aprendizaje para analizar y crear secuencias cinematográficas a partir de procedimientos basados en rutinas profesionales (el montaje en la sala de edición) y establecer en el aula dinámicas de trabajo </w:t>
      </w:r>
      <w:proofErr w:type="spellStart"/>
      <w:r>
        <w:rPr>
          <w:rFonts w:ascii="Arial" w:hAnsi="Arial" w:cs="Arial"/>
          <w:color w:val="1A1A1A"/>
          <w:sz w:val="25"/>
          <w:szCs w:val="25"/>
          <w:lang w:val="es-ES"/>
        </w:rPr>
        <w:t>semipresenciales</w:t>
      </w:r>
      <w:proofErr w:type="spellEnd"/>
      <w:r>
        <w:rPr>
          <w:rFonts w:ascii="Arial" w:hAnsi="Arial" w:cs="Arial"/>
          <w:color w:val="1A1A1A"/>
          <w:sz w:val="25"/>
          <w:szCs w:val="25"/>
          <w:lang w:val="es-ES"/>
        </w:rPr>
        <w:t xml:space="preserve"> y virtuales (recurriendo a una plataforma on-line y el campus virtual).</w:t>
      </w:r>
      <w:bookmarkStart w:id="0" w:name="_GoBack"/>
      <w:bookmarkEnd w:id="0"/>
    </w:p>
    <w:sectPr w:rsidR="00BE75AA" w:rsidSect="00E35830">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33"/>
    <w:rsid w:val="000B2833"/>
    <w:rsid w:val="001209C6"/>
    <w:rsid w:val="00B662CC"/>
    <w:rsid w:val="00BE75AA"/>
    <w:rsid w:val="00E35830"/>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A9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vierramirezserrano@ucm.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2679</Characters>
  <Application>Microsoft Macintosh Word</Application>
  <DocSecurity>0</DocSecurity>
  <Lines>22</Lines>
  <Paragraphs>6</Paragraphs>
  <ScaleCrop>false</ScaleCrop>
  <Company>UCM</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Dolores Romero López</dc:creator>
  <cp:keywords/>
  <dc:description/>
  <cp:lastModifiedBy>Mª Dolores Romero López</cp:lastModifiedBy>
  <cp:revision>1</cp:revision>
  <dcterms:created xsi:type="dcterms:W3CDTF">2016-11-02T09:39:00Z</dcterms:created>
  <dcterms:modified xsi:type="dcterms:W3CDTF">2016-11-02T09:40:00Z</dcterms:modified>
</cp:coreProperties>
</file>