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F8" w:rsidRPr="00B24A9A" w:rsidRDefault="00EF16F8" w:rsidP="00EF16F8">
      <w:pPr>
        <w:ind w:right="-143"/>
        <w:jc w:val="both"/>
        <w:rPr>
          <w:rFonts w:ascii="Arial" w:hAnsi="Arial" w:cs="Arial"/>
          <w:b/>
          <w:caps/>
        </w:rPr>
      </w:pPr>
      <w:bookmarkStart w:id="0" w:name="_GoBack"/>
      <w:bookmarkEnd w:id="0"/>
    </w:p>
    <w:p w:rsidR="00EF16F8" w:rsidRDefault="00EF16F8" w:rsidP="00EF16F8">
      <w:pPr>
        <w:jc w:val="both"/>
        <w:rPr>
          <w:b/>
          <w:caps/>
        </w:rPr>
      </w:pPr>
    </w:p>
    <w:p w:rsidR="00EF16F8" w:rsidRDefault="00EF16F8" w:rsidP="00EF16F8">
      <w:pPr>
        <w:shd w:val="clear" w:color="auto" w:fill="FFFF00"/>
        <w:jc w:val="center"/>
        <w:rPr>
          <w:b/>
          <w:caps/>
        </w:rPr>
      </w:pPr>
      <w:r>
        <w:rPr>
          <w:b/>
          <w:caps/>
        </w:rPr>
        <w:t>Ficha</w:t>
      </w:r>
      <w:r w:rsidRPr="00614263">
        <w:rPr>
          <w:b/>
          <w:caps/>
        </w:rPr>
        <w:t xml:space="preserve"> de la asignatura</w:t>
      </w:r>
    </w:p>
    <w:p w:rsidR="00EF16F8" w:rsidRDefault="00EF16F8" w:rsidP="00EF16F8">
      <w:pPr>
        <w:jc w:val="center"/>
        <w:rPr>
          <w:b/>
          <w:caps/>
        </w:rPr>
      </w:pPr>
    </w:p>
    <w:p w:rsidR="00EF16F8" w:rsidRDefault="00EF16F8" w:rsidP="00EF16F8">
      <w:pPr>
        <w:jc w:val="center"/>
        <w:rPr>
          <w:b/>
          <w:caps/>
        </w:rPr>
      </w:pPr>
    </w:p>
    <w:p w:rsidR="00EF16F8" w:rsidRPr="00B24A9A" w:rsidRDefault="00EF16F8" w:rsidP="00EF16F8">
      <w:pPr>
        <w:ind w:right="-143"/>
        <w:jc w:val="right"/>
        <w:rPr>
          <w:rFonts w:ascii="Arial" w:hAnsi="Arial" w:cs="Arial"/>
          <w:b/>
          <w:caps/>
        </w:rPr>
      </w:pPr>
    </w:p>
    <w:p w:rsidR="00EF16F8" w:rsidRDefault="00EF16F8" w:rsidP="00EF16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523"/>
      </w:tblGrid>
      <w:tr w:rsidR="00EF16F8" w:rsidRPr="00D32CA6" w:rsidTr="00AA6276">
        <w:trPr>
          <w:trHeight w:val="548"/>
        </w:trPr>
        <w:tc>
          <w:tcPr>
            <w:tcW w:w="4180" w:type="pct"/>
            <w:tcBorders>
              <w:left w:val="single" w:sz="4" w:space="0" w:color="C0C0C0"/>
              <w:right w:val="single" w:sz="4" w:space="0" w:color="C0C0C0"/>
            </w:tcBorders>
            <w:shd w:val="clear" w:color="auto" w:fill="FFFF00"/>
          </w:tcPr>
          <w:p w:rsidR="00EF16F8" w:rsidRPr="00F47505" w:rsidRDefault="00EF16F8" w:rsidP="00AA6276">
            <w:pPr>
              <w:spacing w:before="120"/>
              <w:jc w:val="center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Nombre de la Asignatura</w:t>
            </w:r>
          </w:p>
        </w:tc>
        <w:tc>
          <w:tcPr>
            <w:tcW w:w="820" w:type="pct"/>
            <w:tcBorders>
              <w:left w:val="single" w:sz="4" w:space="0" w:color="C0C0C0"/>
            </w:tcBorders>
            <w:shd w:val="clear" w:color="auto" w:fill="FFFF00"/>
          </w:tcPr>
          <w:p w:rsidR="00EF16F8" w:rsidRPr="00F47505" w:rsidRDefault="00EF16F8" w:rsidP="00AA6276">
            <w:pPr>
              <w:jc w:val="center"/>
              <w:rPr>
                <w:rFonts w:ascii="Arial" w:hAnsi="Arial"/>
                <w:b/>
                <w:color w:val="000080"/>
                <w:sz w:val="16"/>
                <w:szCs w:val="16"/>
              </w:rPr>
            </w:pPr>
          </w:p>
          <w:p w:rsidR="00EF16F8" w:rsidRPr="00F47505" w:rsidRDefault="00EF16F8" w:rsidP="00AA6276">
            <w:pPr>
              <w:jc w:val="center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Código</w:t>
            </w:r>
          </w:p>
        </w:tc>
      </w:tr>
      <w:tr w:rsidR="00EF16F8" w:rsidRPr="00D32CA6" w:rsidTr="00AA6276">
        <w:trPr>
          <w:trHeight w:val="850"/>
        </w:trPr>
        <w:tc>
          <w:tcPr>
            <w:tcW w:w="4180" w:type="pct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EF16F8" w:rsidRDefault="00EF16F8" w:rsidP="00AA6276">
            <w:pPr>
              <w:rPr>
                <w:rFonts w:ascii="Arial Narrow" w:hAnsi="Arial Narrow"/>
                <w:color w:val="000080"/>
              </w:rPr>
            </w:pPr>
          </w:p>
          <w:p w:rsidR="00EF16F8" w:rsidRPr="00732954" w:rsidRDefault="00EF16F8" w:rsidP="00AA6276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LEY DE TRANSPARENCIA,  ACCESO A LA INFORMACIÓN PÚBLICA Y BUEN GOBIERNO</w:t>
            </w:r>
          </w:p>
        </w:tc>
        <w:tc>
          <w:tcPr>
            <w:tcW w:w="820" w:type="pct"/>
            <w:tcBorders>
              <w:left w:val="single" w:sz="4" w:space="0" w:color="C0C0C0"/>
              <w:bottom w:val="double" w:sz="4" w:space="0" w:color="auto"/>
            </w:tcBorders>
            <w:shd w:val="clear" w:color="auto" w:fill="auto"/>
          </w:tcPr>
          <w:p w:rsidR="00EF16F8" w:rsidRDefault="00EF16F8" w:rsidP="00AA6276">
            <w:pPr>
              <w:jc w:val="center"/>
              <w:rPr>
                <w:rFonts w:ascii="Arial Narrow" w:hAnsi="Arial Narrow" w:cs="Arial Narrow"/>
                <w:color w:val="000081"/>
              </w:rPr>
            </w:pPr>
          </w:p>
          <w:p w:rsidR="00EF16F8" w:rsidRPr="003906B6" w:rsidRDefault="00EF16F8" w:rsidP="00AA6276">
            <w:pPr>
              <w:jc w:val="center"/>
              <w:rPr>
                <w:rFonts w:ascii="Arial" w:hAnsi="Arial" w:cs="Arial"/>
                <w:iCs/>
                <w:lang w:val="en-US" w:eastAsia="en-US"/>
              </w:rPr>
            </w:pPr>
            <w:r>
              <w:rPr>
                <w:rFonts w:ascii="Arial" w:hAnsi="Arial" w:cs="Arial"/>
                <w:iCs/>
                <w:lang w:val="en-US" w:eastAsia="en-US"/>
              </w:rPr>
              <w:t>(no rellenar)</w:t>
            </w:r>
          </w:p>
        </w:tc>
      </w:tr>
    </w:tbl>
    <w:p w:rsidR="00EF16F8" w:rsidRDefault="00EF16F8" w:rsidP="00EF16F8"/>
    <w:p w:rsidR="00EF16F8" w:rsidRDefault="00EF16F8" w:rsidP="00EF16F8"/>
    <w:p w:rsidR="00EF16F8" w:rsidRDefault="00EF16F8" w:rsidP="00EF16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6"/>
      </w:tblGrid>
      <w:tr w:rsidR="00EF16F8" w:rsidRPr="00D32CA6" w:rsidTr="00AA627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EF16F8" w:rsidRPr="00F47505" w:rsidRDefault="00EF16F8" w:rsidP="00AA6276">
            <w:pPr>
              <w:spacing w:before="240" w:line="240" w:lineRule="exact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Módulo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6F8" w:rsidRPr="00F47505" w:rsidRDefault="00EF16F8" w:rsidP="00AA6276">
            <w:pPr>
              <w:spacing w:before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(no rellenar)</w:t>
            </w:r>
          </w:p>
        </w:tc>
      </w:tr>
      <w:tr w:rsidR="00EF16F8" w:rsidRPr="00D32CA6" w:rsidTr="00AA627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EF16F8" w:rsidRPr="00F47505" w:rsidRDefault="00EF16F8" w:rsidP="00AA6276">
            <w:pPr>
              <w:spacing w:before="240" w:after="100" w:line="240" w:lineRule="exact"/>
              <w:jc w:val="both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Materia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6F8" w:rsidRPr="00F47505" w:rsidRDefault="00EF16F8" w:rsidP="00AA6276">
            <w:pPr>
              <w:spacing w:before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(no rellenar)</w:t>
            </w:r>
          </w:p>
        </w:tc>
      </w:tr>
      <w:tr w:rsidR="00EF16F8" w:rsidRPr="00D32CA6" w:rsidTr="00AA627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EF16F8" w:rsidRPr="00F47505" w:rsidRDefault="00EF16F8" w:rsidP="00AA6276">
            <w:pPr>
              <w:spacing w:before="240" w:after="120" w:line="240" w:lineRule="exact"/>
              <w:rPr>
                <w:rFonts w:ascii="Arial" w:hAnsi="Arial"/>
                <w:b/>
                <w:color w:val="000080"/>
                <w:sz w:val="22"/>
              </w:rPr>
            </w:pPr>
            <w:r w:rsidRPr="00F47505">
              <w:rPr>
                <w:rFonts w:ascii="Arial" w:hAnsi="Arial"/>
                <w:b/>
                <w:color w:val="000080"/>
                <w:sz w:val="22"/>
              </w:rPr>
              <w:t>Créditos para alumnos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6F8" w:rsidRPr="00732954" w:rsidRDefault="00EF16F8" w:rsidP="00AA6276">
            <w:pPr>
              <w:spacing w:before="240"/>
              <w:rPr>
                <w:rFonts w:ascii="Arial" w:hAnsi="Arial"/>
                <w:b/>
              </w:rPr>
            </w:pPr>
            <w:r w:rsidRPr="00732954">
              <w:rPr>
                <w:rFonts w:ascii="Arial" w:hAnsi="Arial"/>
                <w:b/>
              </w:rPr>
              <w:t>4 CRÉDITOS ECTS</w:t>
            </w:r>
          </w:p>
        </w:tc>
      </w:tr>
      <w:tr w:rsidR="00EF16F8" w:rsidRPr="00D32CA6" w:rsidTr="00AA627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EF16F8" w:rsidRPr="00F47505" w:rsidRDefault="00EF16F8" w:rsidP="00AA6276">
            <w:pPr>
              <w:spacing w:before="240" w:after="100" w:line="240" w:lineRule="exact"/>
              <w:jc w:val="both"/>
              <w:rPr>
                <w:rFonts w:ascii="Arial" w:hAnsi="Arial"/>
                <w:color w:val="000080"/>
                <w:vertAlign w:val="superscript"/>
              </w:rPr>
            </w:pPr>
            <w:r w:rsidRPr="00F47505">
              <w:rPr>
                <w:rFonts w:ascii="Arial" w:hAnsi="Arial" w:cs="Arial"/>
                <w:b/>
                <w:color w:val="000080"/>
              </w:rPr>
              <w:t xml:space="preserve">Carácter 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6F8" w:rsidRPr="00732954" w:rsidRDefault="00EF16F8" w:rsidP="00AA6276">
            <w:pPr>
              <w:spacing w:before="240" w:line="240" w:lineRule="exact"/>
              <w:rPr>
                <w:rFonts w:ascii="Arial" w:hAnsi="Arial"/>
                <w:b/>
              </w:rPr>
            </w:pPr>
            <w:r w:rsidRPr="00732954">
              <w:rPr>
                <w:rFonts w:ascii="Arial" w:hAnsi="Arial"/>
                <w:b/>
              </w:rPr>
              <w:t>OPTATIVA</w:t>
            </w:r>
          </w:p>
        </w:tc>
      </w:tr>
      <w:tr w:rsidR="00EF16F8" w:rsidRPr="00D32CA6" w:rsidTr="00AA6276">
        <w:trPr>
          <w:trHeight w:val="582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EF16F8" w:rsidRPr="00F47505" w:rsidRDefault="00EF16F8" w:rsidP="00AA6276">
            <w:pPr>
              <w:spacing w:before="120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Prerrequisitos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6F8" w:rsidRPr="00F47505" w:rsidRDefault="00EF16F8" w:rsidP="00AA6276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EF16F8" w:rsidRPr="00D32CA6" w:rsidTr="00AA6276">
        <w:trPr>
          <w:trHeight w:val="582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EF16F8" w:rsidRPr="00F47505" w:rsidRDefault="00EF16F8" w:rsidP="00AA6276">
            <w:pPr>
              <w:spacing w:before="120"/>
              <w:rPr>
                <w:rFonts w:ascii="Arial" w:hAnsi="Arial"/>
                <w:b/>
                <w:color w:val="000080"/>
                <w:highlight w:val="yellow"/>
              </w:rPr>
            </w:pPr>
            <w:r w:rsidRPr="00F47505">
              <w:rPr>
                <w:rFonts w:ascii="Arial" w:hAnsi="Arial"/>
                <w:b/>
                <w:color w:val="000080"/>
              </w:rPr>
              <w:t>Idioma/s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6F8" w:rsidRPr="00F47505" w:rsidRDefault="00EF16F8" w:rsidP="00AA6276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EF16F8" w:rsidRPr="00D32CA6" w:rsidTr="00AA6276">
        <w:trPr>
          <w:trHeight w:val="751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EF16F8" w:rsidRPr="00F47505" w:rsidRDefault="00EF16F8" w:rsidP="00AA6276">
            <w:pPr>
              <w:spacing w:before="120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Recomendaciones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6F8" w:rsidRPr="00F47505" w:rsidRDefault="00EF16F8" w:rsidP="00AA6276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EF16F8" w:rsidRPr="00D32CA6" w:rsidTr="00AA6276">
        <w:trPr>
          <w:trHeight w:val="103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EF16F8" w:rsidRPr="00F47505" w:rsidRDefault="00EF16F8" w:rsidP="00AA6276">
            <w:pPr>
              <w:spacing w:before="120"/>
              <w:rPr>
                <w:rFonts w:ascii="Arial" w:hAnsi="Arial"/>
                <w:b/>
                <w:color w:val="000080"/>
                <w:szCs w:val="16"/>
              </w:rPr>
            </w:pPr>
            <w:r w:rsidRPr="00F47505">
              <w:rPr>
                <w:rFonts w:ascii="Arial" w:hAnsi="Arial"/>
                <w:b/>
                <w:color w:val="000080"/>
              </w:rPr>
              <w:t>Descriptores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6F8" w:rsidRDefault="00EF16F8" w:rsidP="00AA6276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Curso 1º, </w:t>
            </w:r>
          </w:p>
          <w:p w:rsidR="00EF16F8" w:rsidRDefault="00EF16F8" w:rsidP="00AA6276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Segundo Semestre</w:t>
            </w:r>
          </w:p>
          <w:p w:rsidR="00EF16F8" w:rsidRPr="00732954" w:rsidRDefault="00EF16F8" w:rsidP="00AA6276">
            <w:pPr>
              <w:spacing w:before="120"/>
              <w:rPr>
                <w:rFonts w:ascii="Arial" w:hAnsi="Arial"/>
                <w:b/>
              </w:rPr>
            </w:pPr>
            <w:r w:rsidRPr="00732954">
              <w:rPr>
                <w:rFonts w:ascii="Arial" w:hAnsi="Arial"/>
                <w:b/>
              </w:rPr>
              <w:t>Materia de Especialización jurídica y de la Administración (Bloque 1)</w:t>
            </w:r>
          </w:p>
        </w:tc>
      </w:tr>
    </w:tbl>
    <w:p w:rsidR="00EF16F8" w:rsidRPr="007B452D" w:rsidRDefault="00EF16F8" w:rsidP="00EF16F8">
      <w:pPr>
        <w:rPr>
          <w:rFonts w:ascii="Arial Narrow" w:hAnsi="Arial Narrow"/>
        </w:rPr>
      </w:pPr>
    </w:p>
    <w:p w:rsidR="00EF16F8" w:rsidRDefault="00EF16F8" w:rsidP="00EF16F8"/>
    <w:p w:rsidR="00EF16F8" w:rsidRDefault="00EF16F8" w:rsidP="00EF16F8"/>
    <w:p w:rsidR="00EF16F8" w:rsidRPr="00E85528" w:rsidRDefault="00EF16F8" w:rsidP="00EF16F8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PROFESORES RESPONSABLES</w:t>
      </w:r>
    </w:p>
    <w:p w:rsidR="00EF16F8" w:rsidRDefault="00EF16F8" w:rsidP="00EF16F8"/>
    <w:tbl>
      <w:tblPr>
        <w:tblW w:w="50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691"/>
        <w:gridCol w:w="5103"/>
      </w:tblGrid>
      <w:tr w:rsidR="00EF16F8" w:rsidRPr="00D32CA6" w:rsidTr="00AA6276">
        <w:tc>
          <w:tcPr>
            <w:tcW w:w="835" w:type="pct"/>
            <w:tcBorders>
              <w:bottom w:val="single" w:sz="4" w:space="0" w:color="auto"/>
              <w:right w:val="single" w:sz="4" w:space="0" w:color="C0C0C0"/>
            </w:tcBorders>
            <w:shd w:val="clear" w:color="auto" w:fill="CCECFF"/>
          </w:tcPr>
          <w:p w:rsidR="00EF16F8" w:rsidRPr="00876512" w:rsidRDefault="00EF16F8" w:rsidP="00AA6276">
            <w:pPr>
              <w:spacing w:before="240" w:after="100" w:line="240" w:lineRule="exact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438" w:type="pct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FCC66"/>
          </w:tcPr>
          <w:p w:rsidR="00EF16F8" w:rsidRPr="00876512" w:rsidRDefault="00EF16F8" w:rsidP="00AA6276">
            <w:pPr>
              <w:spacing w:before="240" w:after="100" w:line="240" w:lineRule="exact"/>
              <w:ind w:left="-108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Profesor</w:t>
            </w:r>
          </w:p>
        </w:tc>
        <w:tc>
          <w:tcPr>
            <w:tcW w:w="2727" w:type="pct"/>
            <w:tcBorders>
              <w:left w:val="single" w:sz="4" w:space="0" w:color="C0C0C0"/>
              <w:bottom w:val="single" w:sz="4" w:space="0" w:color="auto"/>
            </w:tcBorders>
            <w:shd w:val="clear" w:color="auto" w:fill="CCECFF"/>
          </w:tcPr>
          <w:p w:rsidR="00EF16F8" w:rsidRPr="00876512" w:rsidRDefault="00EF16F8" w:rsidP="00AA6276">
            <w:pPr>
              <w:spacing w:before="240" w:line="240" w:lineRule="exact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e-mail</w:t>
            </w:r>
          </w:p>
        </w:tc>
      </w:tr>
      <w:tr w:rsidR="00EF16F8" w:rsidRPr="00D32CA6" w:rsidTr="00AA6276">
        <w:tc>
          <w:tcPr>
            <w:tcW w:w="835" w:type="pct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CCECFF"/>
            <w:vAlign w:val="center"/>
          </w:tcPr>
          <w:p w:rsidR="00EF16F8" w:rsidRPr="00876512" w:rsidRDefault="00EF16F8" w:rsidP="00AA6276">
            <w:pPr>
              <w:spacing w:before="240" w:line="240" w:lineRule="exact"/>
              <w:ind w:left="-142" w:right="-109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coordinador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F16F8" w:rsidRPr="00876512" w:rsidRDefault="008724DA" w:rsidP="00AA6276">
            <w:pPr>
              <w:spacing w:before="120"/>
              <w:ind w:right="-108"/>
              <w:jc w:val="center"/>
              <w:rPr>
                <w:rStyle w:val="NombreAsignatura"/>
                <w:rFonts w:eastAsia="Cambria"/>
                <w:b w:val="0"/>
                <w:sz w:val="22"/>
                <w:szCs w:val="22"/>
              </w:rPr>
            </w:pPr>
            <w:r w:rsidRPr="00B24A9A">
              <w:rPr>
                <w:rFonts w:ascii="Arial" w:hAnsi="Arial" w:cs="Arial"/>
                <w:b/>
              </w:rPr>
              <w:t xml:space="preserve">Rosa Mª Fernández </w:t>
            </w:r>
            <w:proofErr w:type="spellStart"/>
            <w:r w:rsidRPr="00B24A9A">
              <w:rPr>
                <w:rFonts w:ascii="Arial" w:hAnsi="Arial" w:cs="Arial"/>
                <w:b/>
              </w:rPr>
              <w:t>Riveira</w:t>
            </w:r>
            <w:proofErr w:type="spellEnd"/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876512" w:rsidRDefault="008724DA" w:rsidP="00AA6276">
            <w:pPr>
              <w:jc w:val="center"/>
              <w:rPr>
                <w:rStyle w:val="NombreAsignatura"/>
                <w:rFonts w:eastAsia="Cambria"/>
                <w:b w:val="0"/>
                <w:sz w:val="22"/>
                <w:szCs w:val="22"/>
              </w:rPr>
            </w:pPr>
            <w:r>
              <w:t>ferrosa@der.ucm.es</w:t>
            </w:r>
          </w:p>
        </w:tc>
      </w:tr>
    </w:tbl>
    <w:p w:rsidR="00EF16F8" w:rsidRDefault="00EF16F8" w:rsidP="00EF16F8"/>
    <w:p w:rsidR="00EF16F8" w:rsidRDefault="00EF16F8" w:rsidP="00EF16F8"/>
    <w:p w:rsidR="00EF16F8" w:rsidRDefault="00EF16F8" w:rsidP="00EF16F8"/>
    <w:p w:rsidR="00EF16F8" w:rsidRDefault="00EF16F8" w:rsidP="00EF16F8"/>
    <w:p w:rsidR="00EF16F8" w:rsidRDefault="00EF16F8" w:rsidP="00EF16F8"/>
    <w:p w:rsidR="00EF16F8" w:rsidRDefault="00EF16F8" w:rsidP="00EF16F8"/>
    <w:p w:rsidR="00EF16F8" w:rsidRDefault="00EF16F8" w:rsidP="00EF16F8"/>
    <w:p w:rsidR="00EF16F8" w:rsidRPr="002E5396" w:rsidRDefault="00EF16F8" w:rsidP="00EF16F8"/>
    <w:p w:rsidR="00EF16F8" w:rsidRPr="00E85528" w:rsidRDefault="00EF16F8" w:rsidP="00EF16F8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OBJETIVOS DE LA ASIGNATURA</w:t>
      </w:r>
    </w:p>
    <w:p w:rsidR="00EF16F8" w:rsidRDefault="00EF16F8" w:rsidP="00EF16F8"/>
    <w:p w:rsidR="00EF16F8" w:rsidRDefault="00EF16F8" w:rsidP="00EF16F8">
      <w:pPr>
        <w:numPr>
          <w:ilvl w:val="0"/>
          <w:numId w:val="15"/>
        </w:numPr>
        <w:jc w:val="both"/>
      </w:pPr>
      <w:r>
        <w:t>Conocer el contenido esencial del derecho de acceso a la información pública y su regulación jurídica como tal.</w:t>
      </w:r>
    </w:p>
    <w:p w:rsidR="00EF16F8" w:rsidRDefault="00EF16F8" w:rsidP="00EF16F8">
      <w:pPr>
        <w:numPr>
          <w:ilvl w:val="0"/>
          <w:numId w:val="15"/>
        </w:numPr>
        <w:jc w:val="both"/>
      </w:pPr>
      <w:r>
        <w:t>Manejar e identificar las principales categorías jurídicas de la ley de transparencia.</w:t>
      </w:r>
    </w:p>
    <w:p w:rsidR="00EF16F8" w:rsidRDefault="00EF16F8" w:rsidP="00EF16F8">
      <w:pPr>
        <w:numPr>
          <w:ilvl w:val="0"/>
          <w:numId w:val="15"/>
        </w:numPr>
        <w:jc w:val="both"/>
      </w:pPr>
      <w:r>
        <w:t>Aplicar la ley de transparencia a supuestos reales de conductas tipificadas como “infracciones” por la ley.</w:t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</w:p>
    <w:p w:rsidR="00EF16F8" w:rsidRPr="00E85528" w:rsidRDefault="00EF16F8" w:rsidP="00EF16F8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COMPETENCIAS DE LA ASIGNATURA</w:t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  <w:r w:rsidRPr="006610FB">
        <w:rPr>
          <w:i/>
        </w:rPr>
        <w:t>COMPETENCIAS GENERALES</w:t>
      </w:r>
      <w:r>
        <w:t>.-</w:t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  <w:r>
        <w:t>CG1.- Conocer y entender el significado y alcance de conceptos como: transparencia, regeneración democrática, información pública, buen gobierno</w:t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  <w:r>
        <w:t>CG2.-  Identificar las principales normas del sistema de fuentes español, diferenciando unas de otras en cuanto a su potencial aplicación.</w:t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  <w:r>
        <w:t>CG3.- Estudiar la Ley de transparencia, acceso a la información pública y buen gobierno de 2013</w:t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  <w:r w:rsidRPr="006610FB">
        <w:rPr>
          <w:i/>
        </w:rPr>
        <w:t>COMPETENCIAS ESPECÍFICAS</w:t>
      </w:r>
      <w:r>
        <w:t>.-</w:t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  <w:r>
        <w:t>CE1.- Identificar los titulares del derecho subjetivo y objetivo de acceso a la información pública</w:t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  <w:r>
        <w:t>CE2.- Entender y enumerar los límites del derecho de acceso a la información pública</w:t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  <w:r>
        <w:t>CE3.- Conocer la naturaleza y principales funciones del Consejo de Transparencia y Buen gobierno</w:t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  <w:r>
        <w:t>CE4.- Aplicar el procedimiento sancionador de la Ley de Transparencia a casos prácticos de incumplimientos de la ley.</w:t>
      </w: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</w:p>
    <w:p w:rsidR="00EF16F8" w:rsidRPr="00E85528" w:rsidRDefault="00EF16F8" w:rsidP="00EF16F8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CONTENIDOS TEMÁTICOS</w:t>
      </w:r>
    </w:p>
    <w:p w:rsidR="00EF16F8" w:rsidRPr="002B11EB" w:rsidRDefault="00EF16F8" w:rsidP="00EF16F8">
      <w:pPr>
        <w:jc w:val="both"/>
        <w:rPr>
          <w:b/>
        </w:rPr>
      </w:pPr>
    </w:p>
    <w:p w:rsidR="00EF16F8" w:rsidRPr="002B11EB" w:rsidRDefault="00EF16F8" w:rsidP="00EF16F8">
      <w:pPr>
        <w:rPr>
          <w:rFonts w:ascii="Arial" w:hAnsi="Arial" w:cs="Arial"/>
          <w:b/>
        </w:rPr>
      </w:pPr>
      <w:r w:rsidRPr="002B11EB">
        <w:rPr>
          <w:rFonts w:ascii="Arial" w:hAnsi="Arial" w:cs="Arial"/>
          <w:b/>
        </w:rPr>
        <w:t>Tema 1º.- ESTADO DEMOCRÁTICO Y TRANSPARENCIA DE LA ACTIVIDAD PÚBLICA</w:t>
      </w:r>
    </w:p>
    <w:p w:rsidR="00EF16F8" w:rsidRPr="002B11EB" w:rsidRDefault="00EF16F8" w:rsidP="00EF16F8">
      <w:pPr>
        <w:rPr>
          <w:rFonts w:ascii="Arial" w:hAnsi="Arial" w:cs="Arial"/>
          <w:b/>
        </w:rPr>
      </w:pPr>
    </w:p>
    <w:p w:rsidR="00EF16F8" w:rsidRPr="002B11EB" w:rsidRDefault="00EF16F8" w:rsidP="00EF16F8">
      <w:pPr>
        <w:numPr>
          <w:ilvl w:val="0"/>
          <w:numId w:val="2"/>
        </w:numPr>
        <w:rPr>
          <w:rFonts w:ascii="Arial" w:hAnsi="Arial" w:cs="Arial"/>
        </w:rPr>
      </w:pPr>
      <w:r w:rsidRPr="002B11EB">
        <w:rPr>
          <w:rFonts w:ascii="Arial" w:hAnsi="Arial" w:cs="Arial"/>
        </w:rPr>
        <w:t>El concepto de “Transparencia” en una sociedad democrática avanzada</w:t>
      </w:r>
    </w:p>
    <w:p w:rsidR="00EF16F8" w:rsidRPr="002B11EB" w:rsidRDefault="00EF16F8" w:rsidP="00EF16F8">
      <w:pPr>
        <w:numPr>
          <w:ilvl w:val="0"/>
          <w:numId w:val="2"/>
        </w:numPr>
        <w:rPr>
          <w:rFonts w:ascii="Arial" w:hAnsi="Arial" w:cs="Arial"/>
        </w:rPr>
      </w:pPr>
      <w:r w:rsidRPr="002B11EB">
        <w:rPr>
          <w:rFonts w:ascii="Arial" w:hAnsi="Arial" w:cs="Arial"/>
        </w:rPr>
        <w:t>Transparencia y Acceso a la información pública: regulación constitucional art. 105 b) de la Constitución española</w:t>
      </w:r>
    </w:p>
    <w:p w:rsidR="00EF16F8" w:rsidRPr="002B11EB" w:rsidRDefault="00EF16F8" w:rsidP="00EF16F8">
      <w:pPr>
        <w:numPr>
          <w:ilvl w:val="0"/>
          <w:numId w:val="2"/>
        </w:numPr>
        <w:rPr>
          <w:rFonts w:ascii="Arial" w:hAnsi="Arial" w:cs="Arial"/>
        </w:rPr>
      </w:pPr>
      <w:r w:rsidRPr="002B11EB">
        <w:rPr>
          <w:rFonts w:ascii="Arial" w:hAnsi="Arial" w:cs="Arial"/>
        </w:rPr>
        <w:lastRenderedPageBreak/>
        <w:t>La ley 19/2013, de 9 de diciembre, de transparencia, acceso a la información pública y buen gobierno.</w:t>
      </w:r>
    </w:p>
    <w:p w:rsidR="00EF16F8" w:rsidRPr="002B11EB" w:rsidRDefault="00EF16F8" w:rsidP="00EF16F8">
      <w:pPr>
        <w:numPr>
          <w:ilvl w:val="0"/>
          <w:numId w:val="3"/>
        </w:numPr>
        <w:rPr>
          <w:rFonts w:ascii="Arial" w:hAnsi="Arial" w:cs="Arial"/>
        </w:rPr>
      </w:pPr>
      <w:r w:rsidRPr="002B11EB">
        <w:rPr>
          <w:rFonts w:ascii="Arial" w:hAnsi="Arial" w:cs="Arial"/>
        </w:rPr>
        <w:t>Ámbito subjetivo de aplicación de la ley de transparencia</w:t>
      </w:r>
    </w:p>
    <w:p w:rsidR="00EF16F8" w:rsidRPr="002B11EB" w:rsidRDefault="00EF16F8" w:rsidP="00EF16F8">
      <w:pPr>
        <w:numPr>
          <w:ilvl w:val="0"/>
          <w:numId w:val="3"/>
        </w:numPr>
        <w:rPr>
          <w:rFonts w:ascii="Arial" w:hAnsi="Arial" w:cs="Arial"/>
        </w:rPr>
      </w:pPr>
      <w:r w:rsidRPr="002B11EB">
        <w:rPr>
          <w:rFonts w:ascii="Arial" w:hAnsi="Arial" w:cs="Arial"/>
        </w:rPr>
        <w:t>Principios generales de la “publicidad activa”</w:t>
      </w:r>
    </w:p>
    <w:p w:rsidR="00EF16F8" w:rsidRPr="002B11EB" w:rsidRDefault="00EF16F8" w:rsidP="00EF16F8">
      <w:pPr>
        <w:numPr>
          <w:ilvl w:val="0"/>
          <w:numId w:val="3"/>
        </w:numPr>
        <w:rPr>
          <w:rFonts w:ascii="Arial" w:hAnsi="Arial" w:cs="Arial"/>
        </w:rPr>
      </w:pPr>
      <w:r w:rsidRPr="002B11EB">
        <w:rPr>
          <w:rFonts w:ascii="Arial" w:hAnsi="Arial" w:cs="Arial"/>
        </w:rPr>
        <w:t>Modalidades de “información pública”:</w:t>
      </w:r>
    </w:p>
    <w:p w:rsidR="00EF16F8" w:rsidRPr="002B11EB" w:rsidRDefault="00EF16F8" w:rsidP="00EF16F8">
      <w:pPr>
        <w:numPr>
          <w:ilvl w:val="0"/>
          <w:numId w:val="4"/>
        </w:numPr>
        <w:rPr>
          <w:rFonts w:ascii="Arial" w:hAnsi="Arial" w:cs="Arial"/>
        </w:rPr>
      </w:pPr>
      <w:r w:rsidRPr="002B11EB">
        <w:rPr>
          <w:rFonts w:ascii="Arial" w:hAnsi="Arial" w:cs="Arial"/>
        </w:rPr>
        <w:t>Información institucional, organizativa y de planificación</w:t>
      </w:r>
    </w:p>
    <w:p w:rsidR="00EF16F8" w:rsidRPr="002B11EB" w:rsidRDefault="00EF16F8" w:rsidP="00EF16F8">
      <w:pPr>
        <w:numPr>
          <w:ilvl w:val="0"/>
          <w:numId w:val="4"/>
        </w:numPr>
        <w:rPr>
          <w:rFonts w:ascii="Arial" w:hAnsi="Arial" w:cs="Arial"/>
        </w:rPr>
      </w:pPr>
      <w:r w:rsidRPr="002B11EB">
        <w:rPr>
          <w:rFonts w:ascii="Arial" w:hAnsi="Arial" w:cs="Arial"/>
        </w:rPr>
        <w:t>Información de relevancia jurídica</w:t>
      </w:r>
    </w:p>
    <w:p w:rsidR="00EF16F8" w:rsidRPr="002B11EB" w:rsidRDefault="00EF16F8" w:rsidP="00EF16F8">
      <w:pPr>
        <w:numPr>
          <w:ilvl w:val="0"/>
          <w:numId w:val="4"/>
        </w:numPr>
        <w:rPr>
          <w:rFonts w:ascii="Arial" w:hAnsi="Arial" w:cs="Arial"/>
        </w:rPr>
      </w:pPr>
      <w:r w:rsidRPr="002B11EB">
        <w:rPr>
          <w:rFonts w:ascii="Arial" w:hAnsi="Arial" w:cs="Arial"/>
        </w:rPr>
        <w:t>Información económica, presupuestaria y estadística</w:t>
      </w:r>
    </w:p>
    <w:p w:rsidR="00EF16F8" w:rsidRPr="002B11EB" w:rsidRDefault="00EF16F8" w:rsidP="00EF16F8">
      <w:pPr>
        <w:rPr>
          <w:rFonts w:ascii="Arial" w:hAnsi="Arial" w:cs="Arial"/>
        </w:rPr>
      </w:pPr>
    </w:p>
    <w:p w:rsidR="00EF16F8" w:rsidRPr="002B11EB" w:rsidRDefault="00EF16F8" w:rsidP="00EF16F8">
      <w:pPr>
        <w:rPr>
          <w:rFonts w:ascii="Arial" w:hAnsi="Arial" w:cs="Arial"/>
          <w:b/>
        </w:rPr>
      </w:pPr>
      <w:r w:rsidRPr="002B11EB">
        <w:rPr>
          <w:rFonts w:ascii="Arial" w:hAnsi="Arial" w:cs="Arial"/>
          <w:b/>
        </w:rPr>
        <w:t>Tema 2º.- DERECHO DE ACCESO A LA INFORMACIÓN PÚBLICA</w:t>
      </w:r>
    </w:p>
    <w:p w:rsidR="00EF16F8" w:rsidRPr="002B11EB" w:rsidRDefault="00EF16F8" w:rsidP="00EF16F8">
      <w:pPr>
        <w:ind w:left="360"/>
        <w:rPr>
          <w:rFonts w:ascii="Arial" w:hAnsi="Arial" w:cs="Arial"/>
        </w:rPr>
      </w:pPr>
    </w:p>
    <w:p w:rsidR="00EF16F8" w:rsidRPr="002B11EB" w:rsidRDefault="00EF16F8" w:rsidP="00EF16F8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2B11EB">
        <w:rPr>
          <w:rFonts w:ascii="Arial" w:hAnsi="Arial" w:cs="Arial"/>
        </w:rPr>
        <w:t>El Derecho de acceso a la información pública: naturaleza y regulación, arts. 12 y 13 de la Ley de transparencia.</w:t>
      </w:r>
    </w:p>
    <w:p w:rsidR="00EF16F8" w:rsidRPr="002B11EB" w:rsidRDefault="00EF16F8" w:rsidP="00EF16F8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2B11EB">
        <w:rPr>
          <w:rFonts w:ascii="Arial" w:hAnsi="Arial" w:cs="Arial"/>
        </w:rPr>
        <w:t>Titularidad del Derecho</w:t>
      </w:r>
    </w:p>
    <w:p w:rsidR="00EF16F8" w:rsidRPr="002B11EB" w:rsidRDefault="00EF16F8" w:rsidP="00EF16F8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2B11EB">
        <w:rPr>
          <w:rFonts w:ascii="Arial" w:hAnsi="Arial" w:cs="Arial"/>
        </w:rPr>
        <w:t>Límites del Derecho de acceso a la información pública</w:t>
      </w:r>
    </w:p>
    <w:p w:rsidR="00EF16F8" w:rsidRPr="002B11EB" w:rsidRDefault="00EF16F8" w:rsidP="00EF16F8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2B11EB">
        <w:rPr>
          <w:rFonts w:ascii="Arial" w:hAnsi="Arial" w:cs="Arial"/>
        </w:rPr>
        <w:t>El acceso a la información pública y la protección de datos</w:t>
      </w:r>
    </w:p>
    <w:p w:rsidR="00EF16F8" w:rsidRPr="002B11EB" w:rsidRDefault="00EF16F8" w:rsidP="00EF16F8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2B11EB">
        <w:rPr>
          <w:rFonts w:ascii="Arial" w:hAnsi="Arial" w:cs="Arial"/>
        </w:rPr>
        <w:t>Tramitación del derecho de acceso a la información pública (arts. 17 a 22 de la ley de transparencia)</w:t>
      </w:r>
    </w:p>
    <w:p w:rsidR="00EF16F8" w:rsidRPr="002B11EB" w:rsidRDefault="00EF16F8" w:rsidP="00EF16F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B11EB">
        <w:rPr>
          <w:rFonts w:ascii="Arial" w:hAnsi="Arial" w:cs="Arial"/>
        </w:rPr>
        <w:t>El régimen de impugnaciones</w:t>
      </w:r>
      <w:r>
        <w:rPr>
          <w:rFonts w:ascii="Arial" w:hAnsi="Arial" w:cs="Arial"/>
        </w:rPr>
        <w:t xml:space="preserve"> del derecho de acceso a la información pública</w:t>
      </w:r>
      <w:r w:rsidRPr="002B11EB">
        <w:rPr>
          <w:rFonts w:ascii="Arial" w:hAnsi="Arial" w:cs="Arial"/>
        </w:rPr>
        <w:t xml:space="preserve"> ante el Consejo de Transparencia y Buen gobierno.</w:t>
      </w:r>
    </w:p>
    <w:p w:rsidR="00EF16F8" w:rsidRPr="002B11EB" w:rsidRDefault="00EF16F8" w:rsidP="00EF16F8">
      <w:pPr>
        <w:jc w:val="both"/>
        <w:rPr>
          <w:rFonts w:ascii="Arial" w:hAnsi="Arial" w:cs="Arial"/>
        </w:rPr>
      </w:pPr>
    </w:p>
    <w:p w:rsidR="00EF16F8" w:rsidRPr="002B11EB" w:rsidRDefault="00EF16F8" w:rsidP="00EF16F8">
      <w:pPr>
        <w:jc w:val="both"/>
        <w:rPr>
          <w:rFonts w:ascii="Arial" w:hAnsi="Arial" w:cs="Arial"/>
          <w:b/>
        </w:rPr>
      </w:pPr>
      <w:r w:rsidRPr="002B11EB">
        <w:rPr>
          <w:rFonts w:ascii="Arial" w:hAnsi="Arial" w:cs="Arial"/>
          <w:b/>
        </w:rPr>
        <w:t>Tema 3º.- EL CONSEJO DE TRANSPARENCIA Y BUEN GOBIERNO</w:t>
      </w:r>
    </w:p>
    <w:p w:rsidR="00EF16F8" w:rsidRPr="002B11EB" w:rsidRDefault="00EF16F8" w:rsidP="00EF16F8">
      <w:pPr>
        <w:ind w:left="1776"/>
        <w:jc w:val="both"/>
        <w:rPr>
          <w:rFonts w:ascii="Arial" w:hAnsi="Arial" w:cs="Arial"/>
        </w:rPr>
      </w:pPr>
    </w:p>
    <w:p w:rsidR="00EF16F8" w:rsidRDefault="00EF16F8" w:rsidP="00EF16F8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Consejo de Transparencia y Buen gobierno, organismo público independiente de la Administración General del Estado.</w:t>
      </w:r>
    </w:p>
    <w:p w:rsidR="00EF16F8" w:rsidRDefault="00EF16F8" w:rsidP="00EF16F8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Regulación jurídica del Consejo de Transparencia y buen gobierno (CTBG): RD 919/2014, de 31 de octubre por el que se aprueba el Estatuto del Consejo de Transparencia y Buen gobierno.</w:t>
      </w:r>
    </w:p>
    <w:p w:rsidR="00EF16F8" w:rsidRDefault="00EF16F8" w:rsidP="00EF16F8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Estructura orgánica y composición del Consejo.</w:t>
      </w:r>
    </w:p>
    <w:p w:rsidR="00EF16F8" w:rsidRDefault="00EF16F8" w:rsidP="00EF16F8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Funciones del Consejo:</w:t>
      </w:r>
    </w:p>
    <w:p w:rsidR="00EF16F8" w:rsidRDefault="00EF16F8" w:rsidP="00EF16F8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Asesorar en materia de transparencia, acceso a la información pública y buen gobierno</w:t>
      </w:r>
    </w:p>
    <w:p w:rsidR="00EF16F8" w:rsidRDefault="00EF16F8" w:rsidP="00EF16F8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Informar preceptivamente los proyectos estatales normativos de desarrollo de la ley de transparencia de 2013</w:t>
      </w:r>
    </w:p>
    <w:p w:rsidR="00EF16F8" w:rsidRDefault="00EF16F8" w:rsidP="00EF16F8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Elaborar recomendaciones y directrices en materia de buenas prácticas sobre transparencia, acceso a la información pública y buen gobierno.</w:t>
      </w:r>
    </w:p>
    <w:p w:rsidR="00EF16F8" w:rsidRDefault="00EF16F8" w:rsidP="00EF16F8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Garantizar y evaluar el cumplimiento de la ley de transparencia</w:t>
      </w:r>
    </w:p>
    <w:p w:rsidR="00EF16F8" w:rsidRDefault="00EF16F8" w:rsidP="00EF16F8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Aquellas otras que le encomienden las leyes o reglamentos en la materia.</w:t>
      </w:r>
    </w:p>
    <w:p w:rsidR="00EF16F8" w:rsidRDefault="00EF16F8" w:rsidP="00EF16F8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Relaciones del Consejo con otros organismos del Estado: Cortes Generales y Agencia española de protección de datos.</w:t>
      </w:r>
    </w:p>
    <w:p w:rsidR="00EF16F8" w:rsidRDefault="00EF16F8" w:rsidP="00EF16F8">
      <w:pPr>
        <w:ind w:left="360"/>
        <w:jc w:val="both"/>
        <w:rPr>
          <w:rFonts w:ascii="Arial" w:hAnsi="Arial" w:cs="Arial"/>
        </w:rPr>
      </w:pPr>
    </w:p>
    <w:p w:rsidR="00EF16F8" w:rsidRPr="009E5D36" w:rsidRDefault="00EF16F8" w:rsidP="00EF16F8">
      <w:pPr>
        <w:jc w:val="both"/>
        <w:rPr>
          <w:rFonts w:ascii="Arial" w:hAnsi="Arial" w:cs="Arial"/>
          <w:b/>
        </w:rPr>
      </w:pPr>
      <w:r w:rsidRPr="009E5D36">
        <w:rPr>
          <w:rFonts w:ascii="Arial" w:hAnsi="Arial" w:cs="Arial"/>
          <w:b/>
        </w:rPr>
        <w:t>Tema 4º.- EL PRINCIPIO DEL “BUEN GOBIERNO”</w:t>
      </w:r>
    </w:p>
    <w:p w:rsidR="00EF16F8" w:rsidRDefault="00EF16F8" w:rsidP="00EF16F8">
      <w:pPr>
        <w:jc w:val="both"/>
        <w:rPr>
          <w:rFonts w:ascii="Arial" w:hAnsi="Arial" w:cs="Arial"/>
        </w:rPr>
      </w:pPr>
    </w:p>
    <w:p w:rsidR="00EF16F8" w:rsidRDefault="00EF16F8" w:rsidP="00EF16F8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concepto de buen gobierno y su naturaleza jurídica</w:t>
      </w:r>
    </w:p>
    <w:p w:rsidR="00EF16F8" w:rsidRDefault="00EF16F8" w:rsidP="00EF16F8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Ámbito subjetivo de aplicación de la ley, título II relativo al “buen gobierno”.</w:t>
      </w:r>
    </w:p>
    <w:p w:rsidR="00EF16F8" w:rsidRDefault="00EF16F8" w:rsidP="00EF16F8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contenido esencial del buen gobierno:</w:t>
      </w:r>
    </w:p>
    <w:p w:rsidR="00EF16F8" w:rsidRDefault="00EF16F8" w:rsidP="00EF16F8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E2B83">
        <w:rPr>
          <w:rFonts w:ascii="Arial" w:hAnsi="Arial" w:cs="Arial"/>
          <w:i/>
        </w:rPr>
        <w:t>Principios generales</w:t>
      </w:r>
      <w:r>
        <w:rPr>
          <w:rFonts w:ascii="Arial" w:hAnsi="Arial" w:cs="Arial"/>
        </w:rPr>
        <w:t xml:space="preserve">: </w:t>
      </w:r>
    </w:p>
    <w:p w:rsidR="00EF16F8" w:rsidRDefault="00EF16F8" w:rsidP="00EF16F8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Principio de eficacia, economía y eficiencia</w:t>
      </w:r>
    </w:p>
    <w:p w:rsidR="00EF16F8" w:rsidRDefault="00EF16F8" w:rsidP="00EF16F8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Principio de dedicación</w:t>
      </w:r>
    </w:p>
    <w:p w:rsidR="00EF16F8" w:rsidRDefault="00EF16F8" w:rsidP="00EF16F8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Principio de imparcialidad</w:t>
      </w:r>
    </w:p>
    <w:p w:rsidR="00EF16F8" w:rsidRDefault="00EF16F8" w:rsidP="00EF16F8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Principio de tratamiento igualitario sin discriminación</w:t>
      </w:r>
    </w:p>
    <w:p w:rsidR="00EF16F8" w:rsidRDefault="00EF16F8" w:rsidP="00EF16F8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Principio de diligencia debida y calidad</w:t>
      </w:r>
    </w:p>
    <w:p w:rsidR="00EF16F8" w:rsidRDefault="00EF16F8" w:rsidP="00EF16F8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Principio de dignidad y corrección</w:t>
      </w:r>
    </w:p>
    <w:p w:rsidR="00EF16F8" w:rsidRDefault="00EF16F8" w:rsidP="00EF16F8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Principio de responsabilidad</w:t>
      </w:r>
    </w:p>
    <w:p w:rsidR="00EF16F8" w:rsidRDefault="00EF16F8" w:rsidP="00EF16F8">
      <w:pPr>
        <w:ind w:left="1776"/>
        <w:jc w:val="both"/>
        <w:rPr>
          <w:rFonts w:ascii="Arial" w:hAnsi="Arial" w:cs="Arial"/>
        </w:rPr>
      </w:pPr>
    </w:p>
    <w:p w:rsidR="00EF16F8" w:rsidRDefault="00EF16F8" w:rsidP="00EF16F8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E2B83">
        <w:rPr>
          <w:rFonts w:ascii="Arial" w:hAnsi="Arial" w:cs="Arial"/>
          <w:i/>
        </w:rPr>
        <w:t>Principios de actuación</w:t>
      </w:r>
      <w:r>
        <w:rPr>
          <w:rFonts w:ascii="Arial" w:hAnsi="Arial" w:cs="Arial"/>
        </w:rPr>
        <w:t>:</w:t>
      </w:r>
    </w:p>
    <w:p w:rsidR="00EF16F8" w:rsidRDefault="00EF16F8" w:rsidP="00EF16F8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Respeto al régimen de incompatibilidades y conflicto de intereses</w:t>
      </w:r>
    </w:p>
    <w:p w:rsidR="00EF16F8" w:rsidRDefault="00EF16F8" w:rsidP="00EF16F8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Principio de observancia de la “debida reserva”</w:t>
      </w:r>
    </w:p>
    <w:p w:rsidR="00EF16F8" w:rsidRDefault="00EF16F8" w:rsidP="00EF16F8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Principio de honestidad sobre cualquier actuación irregular</w:t>
      </w:r>
    </w:p>
    <w:p w:rsidR="00EF16F8" w:rsidRDefault="00EF16F8" w:rsidP="00EF16F8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Principio de finalidad exclusiva</w:t>
      </w:r>
    </w:p>
    <w:p w:rsidR="00EF16F8" w:rsidRDefault="00EF16F8" w:rsidP="00EF16F8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Principio de objetividad</w:t>
      </w:r>
    </w:p>
    <w:p w:rsidR="00EF16F8" w:rsidRDefault="00EF16F8" w:rsidP="00EF16F8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Principio de no aceptación de regalos o tratos de favor</w:t>
      </w:r>
    </w:p>
    <w:p w:rsidR="00EF16F8" w:rsidRDefault="00EF16F8" w:rsidP="00EF16F8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Principio de transparencia</w:t>
      </w:r>
    </w:p>
    <w:p w:rsidR="00EF16F8" w:rsidRDefault="00EF16F8" w:rsidP="00EF16F8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Principio de conservación de los recursos</w:t>
      </w:r>
    </w:p>
    <w:p w:rsidR="00EF16F8" w:rsidRDefault="00EF16F8" w:rsidP="00EF16F8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Principio de no abuso de determinadas posiciones</w:t>
      </w:r>
    </w:p>
    <w:p w:rsidR="00EF16F8" w:rsidRDefault="00EF16F8" w:rsidP="00EF16F8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régimen sancionador del buen gobierno:</w:t>
      </w:r>
    </w:p>
    <w:p w:rsidR="00EF16F8" w:rsidRDefault="00EF16F8" w:rsidP="00EF16F8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Tipificación de las Infracciones:</w:t>
      </w:r>
    </w:p>
    <w:p w:rsidR="00EF16F8" w:rsidRDefault="00EF16F8" w:rsidP="00EF16F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materia de conflicto de intereses</w:t>
      </w:r>
    </w:p>
    <w:p w:rsidR="00EF16F8" w:rsidRDefault="00EF16F8" w:rsidP="00EF16F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materia de gestión económico-presupuestaria</w:t>
      </w:r>
    </w:p>
    <w:p w:rsidR="00EF16F8" w:rsidRDefault="00EF16F8" w:rsidP="00EF16F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Disciplinarias</w:t>
      </w:r>
    </w:p>
    <w:p w:rsidR="00EF16F8" w:rsidRDefault="00EF16F8" w:rsidP="00EF16F8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Modalidades de Sanciones</w:t>
      </w:r>
    </w:p>
    <w:p w:rsidR="00EF16F8" w:rsidRPr="002B11EB" w:rsidRDefault="00EF16F8" w:rsidP="00EF16F8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Órgano sancionador y tramitación del procedimiento</w:t>
      </w:r>
    </w:p>
    <w:p w:rsidR="00EF16F8" w:rsidRDefault="00EF16F8" w:rsidP="00EF16F8">
      <w:pPr>
        <w:jc w:val="both"/>
        <w:rPr>
          <w:rFonts w:ascii="Arial Narrow" w:hAnsi="Arial Narrow" w:cs="Arial"/>
          <w:u w:val="single"/>
        </w:rPr>
      </w:pPr>
    </w:p>
    <w:p w:rsidR="00EF16F8" w:rsidRPr="00E85528" w:rsidRDefault="00EF16F8" w:rsidP="00EF16F8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MATERIAL BIBLIOGRÁFICO Y OTROS RECURSOS DIDÁCTICOS</w:t>
      </w:r>
    </w:p>
    <w:p w:rsidR="00EF16F8" w:rsidRDefault="00EF16F8" w:rsidP="00EF16F8"/>
    <w:p w:rsidR="00EF16F8" w:rsidRDefault="00EF16F8" w:rsidP="00EF16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16F8" w:rsidRPr="00D32CA6" w:rsidTr="00AA6276">
        <w:trPr>
          <w:trHeight w:val="33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EF16F8" w:rsidRPr="00D32CA6" w:rsidRDefault="00EF16F8" w:rsidP="00AA6276">
            <w:pPr>
              <w:spacing w:before="240" w:after="24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 xml:space="preserve">Bibliografía básica </w:t>
            </w:r>
          </w:p>
        </w:tc>
      </w:tr>
      <w:tr w:rsidR="00EF16F8" w:rsidRPr="00D32CA6" w:rsidTr="00AA6276">
        <w:trPr>
          <w:trHeight w:val="2450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F16F8" w:rsidRPr="006F71B1" w:rsidRDefault="00EF16F8" w:rsidP="00AA6276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16F8" w:rsidRDefault="00EF16F8" w:rsidP="00EF16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1B1">
              <w:rPr>
                <w:rFonts w:ascii="Arial" w:hAnsi="Arial" w:cs="Arial"/>
                <w:b/>
                <w:sz w:val="22"/>
                <w:szCs w:val="22"/>
              </w:rPr>
              <w:t>GUICHOT REINA E.</w:t>
            </w:r>
            <w:r w:rsidRPr="006F71B1">
              <w:rPr>
                <w:rFonts w:ascii="Arial" w:hAnsi="Arial" w:cs="Arial"/>
                <w:sz w:val="22"/>
                <w:szCs w:val="22"/>
              </w:rPr>
              <w:t>, (coord.),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71B1">
              <w:rPr>
                <w:rFonts w:ascii="Arial" w:hAnsi="Arial" w:cs="Arial"/>
                <w:sz w:val="22"/>
                <w:szCs w:val="22"/>
              </w:rPr>
              <w:t xml:space="preserve">Transparencia, Acceso a la Información Pública y Buen Gobierno. Estudio de la Ley 19/2013, de 9 de diciembre, </w:t>
            </w:r>
            <w:r w:rsidRPr="00086886">
              <w:rPr>
                <w:rFonts w:ascii="Arial" w:hAnsi="Arial" w:cs="Arial"/>
                <w:i/>
                <w:sz w:val="22"/>
                <w:szCs w:val="22"/>
              </w:rPr>
              <w:t>Tecnos</w:t>
            </w:r>
            <w:r w:rsidRPr="006F71B1">
              <w:rPr>
                <w:rFonts w:ascii="Arial" w:hAnsi="Arial" w:cs="Arial"/>
                <w:sz w:val="22"/>
                <w:szCs w:val="22"/>
              </w:rPr>
              <w:t>, Madrid 2014;</w:t>
            </w:r>
          </w:p>
          <w:p w:rsidR="00EF16F8" w:rsidRPr="006F71B1" w:rsidRDefault="00EF16F8" w:rsidP="00AA6276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16F8" w:rsidRDefault="00EF16F8" w:rsidP="00EF16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VALERO TORRIJOS J., y FERNÁNDEZ SALMERÓN M., (coords.) </w:t>
            </w:r>
            <w:r>
              <w:rPr>
                <w:rFonts w:ascii="Arial" w:hAnsi="Arial" w:cs="Arial"/>
                <w:sz w:val="22"/>
                <w:szCs w:val="22"/>
              </w:rPr>
              <w:t xml:space="preserve">Régimen Jurídico de la Transparencia del Sector Público, </w:t>
            </w:r>
            <w:r w:rsidRPr="00086886">
              <w:rPr>
                <w:rFonts w:ascii="Arial" w:hAnsi="Arial" w:cs="Arial"/>
                <w:i/>
                <w:sz w:val="22"/>
                <w:szCs w:val="22"/>
              </w:rPr>
              <w:t>Aranzadi</w:t>
            </w:r>
            <w:r>
              <w:rPr>
                <w:rFonts w:ascii="Arial" w:hAnsi="Arial" w:cs="Arial"/>
                <w:sz w:val="22"/>
                <w:szCs w:val="22"/>
              </w:rPr>
              <w:t xml:space="preserve"> 2014; </w:t>
            </w:r>
          </w:p>
          <w:p w:rsidR="00EF16F8" w:rsidRPr="006F71B1" w:rsidRDefault="00EF16F8" w:rsidP="00AA6276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16F8" w:rsidRDefault="00EF16F8" w:rsidP="00EF16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1B1">
              <w:rPr>
                <w:rFonts w:ascii="Arial" w:hAnsi="Arial" w:cs="Arial"/>
                <w:b/>
                <w:sz w:val="22"/>
                <w:szCs w:val="22"/>
              </w:rPr>
              <w:t>PIÑAR MAÑAS L</w:t>
            </w:r>
            <w:r w:rsidRPr="006F71B1">
              <w:rPr>
                <w:rFonts w:ascii="Arial" w:hAnsi="Arial" w:cs="Arial"/>
                <w:sz w:val="22"/>
                <w:szCs w:val="22"/>
              </w:rPr>
              <w:t xml:space="preserve">., Transparencia y Derecho de Acceso a la información pública. Algunas reflexiones en torno al Derecho de Acceso en la Ley 19/2013, de Transparencia, Acceso a la Información y Buen Gobierno.” </w:t>
            </w:r>
            <w:r w:rsidRPr="006F71B1">
              <w:rPr>
                <w:rFonts w:ascii="Arial" w:hAnsi="Arial" w:cs="Arial"/>
                <w:i/>
                <w:sz w:val="22"/>
                <w:szCs w:val="22"/>
              </w:rPr>
              <w:t xml:space="preserve">Revista Catalana de </w:t>
            </w:r>
            <w:proofErr w:type="spellStart"/>
            <w:r w:rsidRPr="006F71B1">
              <w:rPr>
                <w:rFonts w:ascii="Arial" w:hAnsi="Arial" w:cs="Arial"/>
                <w:i/>
                <w:sz w:val="22"/>
                <w:szCs w:val="22"/>
              </w:rPr>
              <w:t>Dret</w:t>
            </w:r>
            <w:proofErr w:type="spellEnd"/>
            <w:r w:rsidRPr="006F71B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F71B1">
              <w:rPr>
                <w:rFonts w:ascii="Arial" w:hAnsi="Arial" w:cs="Arial"/>
                <w:i/>
                <w:sz w:val="22"/>
                <w:szCs w:val="22"/>
              </w:rPr>
              <w:t>Públic</w:t>
            </w:r>
            <w:proofErr w:type="spellEnd"/>
            <w:r w:rsidRPr="006F71B1">
              <w:rPr>
                <w:rFonts w:ascii="Arial" w:hAnsi="Arial" w:cs="Arial"/>
                <w:sz w:val="22"/>
                <w:szCs w:val="22"/>
              </w:rPr>
              <w:t xml:space="preserve">, n. 49, 2014; </w:t>
            </w:r>
          </w:p>
          <w:p w:rsidR="00EF16F8" w:rsidRDefault="00EF16F8" w:rsidP="00AA6276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EF16F8" w:rsidRDefault="00EF16F8" w:rsidP="00EF16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6886">
              <w:rPr>
                <w:rFonts w:ascii="Arial" w:hAnsi="Arial" w:cs="Arial"/>
                <w:b/>
                <w:sz w:val="22"/>
                <w:szCs w:val="22"/>
              </w:rPr>
              <w:t>MORENO GONZÁLEZ G</w:t>
            </w:r>
            <w:r>
              <w:rPr>
                <w:rFonts w:ascii="Arial" w:hAnsi="Arial" w:cs="Arial"/>
                <w:sz w:val="22"/>
                <w:szCs w:val="22"/>
              </w:rPr>
              <w:t xml:space="preserve">., “El Derecho de Acceso a la Información Pública en la Ley de Transparencia: una aproximación constitucional”, </w:t>
            </w:r>
            <w:r w:rsidRPr="00086886">
              <w:rPr>
                <w:rFonts w:ascii="Arial" w:hAnsi="Arial" w:cs="Arial"/>
                <w:i/>
                <w:sz w:val="22"/>
                <w:szCs w:val="22"/>
              </w:rPr>
              <w:t>Eunomía, Revista en Cultura de la Legalidad</w:t>
            </w:r>
            <w:r>
              <w:rPr>
                <w:rFonts w:ascii="Arial" w:hAnsi="Arial" w:cs="Arial"/>
                <w:sz w:val="22"/>
                <w:szCs w:val="22"/>
              </w:rPr>
              <w:t>, nº 8, marzo-agosto 2015, págs. 93-125;</w:t>
            </w:r>
          </w:p>
          <w:p w:rsidR="00EF16F8" w:rsidRDefault="00EF16F8" w:rsidP="00AA6276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EF16F8" w:rsidRDefault="00EF16F8" w:rsidP="00EF16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81F">
              <w:rPr>
                <w:rFonts w:ascii="Arial" w:hAnsi="Arial" w:cs="Arial"/>
                <w:b/>
                <w:sz w:val="22"/>
                <w:szCs w:val="22"/>
              </w:rPr>
              <w:t>WENCES I., KÖLLING M., y RAGONE S.</w:t>
            </w:r>
            <w:r w:rsidRPr="00A6581F">
              <w:rPr>
                <w:rFonts w:ascii="Arial" w:hAnsi="Arial" w:cs="Arial"/>
                <w:sz w:val="22"/>
                <w:szCs w:val="22"/>
              </w:rPr>
              <w:t>, (coords.), “La Ley de Transparencia, acceso a la informaci</w:t>
            </w:r>
            <w:r>
              <w:rPr>
                <w:rFonts w:ascii="Arial" w:hAnsi="Arial" w:cs="Arial"/>
                <w:sz w:val="22"/>
                <w:szCs w:val="22"/>
              </w:rPr>
              <w:t>ón pública y buen gobierno”, CEPC, Madrid 2014;</w:t>
            </w:r>
          </w:p>
          <w:p w:rsidR="00EF16F8" w:rsidRDefault="00EF16F8" w:rsidP="00AA6276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F16F8" w:rsidRPr="00EB6ECB" w:rsidRDefault="00EF16F8" w:rsidP="00EF16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1B1">
              <w:rPr>
                <w:rFonts w:ascii="Arial" w:hAnsi="Arial" w:cs="Arial"/>
                <w:b/>
                <w:sz w:val="22"/>
                <w:szCs w:val="22"/>
              </w:rPr>
              <w:t>LLOP RIBALTA Mª D</w:t>
            </w:r>
            <w:r>
              <w:rPr>
                <w:rFonts w:ascii="Arial" w:hAnsi="Arial" w:cs="Arial"/>
                <w:sz w:val="22"/>
                <w:szCs w:val="22"/>
              </w:rPr>
              <w:t xml:space="preserve">., “Transparencia, Acceso a la Información Pública y Buen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Gobierno en los parlamentos” </w:t>
            </w:r>
            <w:r w:rsidRPr="000B6BD9">
              <w:rPr>
                <w:rFonts w:ascii="Arial" w:hAnsi="Arial" w:cs="Arial"/>
                <w:i/>
                <w:sz w:val="22"/>
                <w:szCs w:val="22"/>
              </w:rPr>
              <w:t>Cuadernos Manuel Giménez Abad</w:t>
            </w:r>
            <w:r>
              <w:rPr>
                <w:rFonts w:ascii="Arial" w:hAnsi="Arial" w:cs="Arial"/>
                <w:sz w:val="22"/>
                <w:szCs w:val="22"/>
              </w:rPr>
              <w:t>, nº 4, diciembre 2012, pág. 66-83;</w:t>
            </w:r>
          </w:p>
        </w:tc>
      </w:tr>
      <w:tr w:rsidR="00EF16F8" w:rsidRPr="00D32CA6" w:rsidTr="00AA6276">
        <w:trPr>
          <w:trHeight w:val="813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EF16F8" w:rsidRPr="00D32CA6" w:rsidRDefault="00EF16F8" w:rsidP="00AA6276">
            <w:pPr>
              <w:rPr>
                <w:rFonts w:ascii="Arial Narrow" w:hAnsi="Arial Narrow"/>
                <w:b/>
                <w:color w:val="000080"/>
              </w:rPr>
            </w:pPr>
          </w:p>
          <w:p w:rsidR="00EF16F8" w:rsidRPr="00D32CA6" w:rsidRDefault="00EF16F8" w:rsidP="00AA6276">
            <w:pPr>
              <w:jc w:val="center"/>
              <w:rPr>
                <w:rFonts w:ascii="Arial Narrow" w:hAnsi="Arial Narrow"/>
                <w:b/>
                <w:color w:val="00008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>Bibliografía complementaria</w:t>
            </w:r>
          </w:p>
        </w:tc>
      </w:tr>
      <w:tr w:rsidR="00EF16F8" w:rsidRPr="00727271" w:rsidTr="00AA6276">
        <w:trPr>
          <w:trHeight w:val="1042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F16F8" w:rsidRPr="00DF3E12" w:rsidRDefault="00EF16F8" w:rsidP="00AA627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EF16F8" w:rsidRDefault="00EF16F8" w:rsidP="00EF16F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1E02">
              <w:rPr>
                <w:rFonts w:ascii="Arial" w:hAnsi="Arial" w:cs="Arial"/>
                <w:b/>
              </w:rPr>
              <w:t>CLIMENT BLANES M. A.</w:t>
            </w:r>
            <w:r>
              <w:rPr>
                <w:rFonts w:ascii="Arial" w:hAnsi="Arial" w:cs="Arial"/>
              </w:rPr>
              <w:t xml:space="preserve">, </w:t>
            </w:r>
            <w:r w:rsidRPr="00DF3E12">
              <w:rPr>
                <w:rFonts w:ascii="Arial" w:hAnsi="Arial" w:cs="Arial"/>
                <w:i/>
              </w:rPr>
              <w:t>La Transparencia informativa de las administraciones públicas: el derecho de las personas a saber y la obligación de difundir información pública de forma activa</w:t>
            </w:r>
            <w:r>
              <w:rPr>
                <w:rFonts w:ascii="Arial" w:hAnsi="Arial" w:cs="Arial"/>
              </w:rPr>
              <w:t>, Thomson Reuters, Aranzadi 2014;</w:t>
            </w:r>
          </w:p>
          <w:p w:rsidR="00EF16F8" w:rsidRDefault="00EF16F8" w:rsidP="00AA6276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</w:p>
          <w:p w:rsidR="00EF16F8" w:rsidRDefault="00EF16F8" w:rsidP="00EF16F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1E02">
              <w:rPr>
                <w:rFonts w:ascii="Arial" w:hAnsi="Arial" w:cs="Arial"/>
                <w:b/>
              </w:rPr>
              <w:t>CAPDEVILLA MARTÍNEZ C</w:t>
            </w:r>
            <w:r>
              <w:rPr>
                <w:rFonts w:ascii="Arial" w:hAnsi="Arial" w:cs="Arial"/>
              </w:rPr>
              <w:t xml:space="preserve">., “La Transparencia en la Unión Europea”, en </w:t>
            </w:r>
            <w:r w:rsidRPr="00DF3E12">
              <w:rPr>
                <w:rFonts w:ascii="Arial" w:hAnsi="Arial" w:cs="Arial"/>
                <w:i/>
              </w:rPr>
              <w:t>Cuadernos de Derecho Público</w:t>
            </w:r>
            <w:r>
              <w:rPr>
                <w:rFonts w:ascii="Arial" w:hAnsi="Arial" w:cs="Arial"/>
              </w:rPr>
              <w:t xml:space="preserve">, nº 26, INAP 2005; </w:t>
            </w:r>
          </w:p>
          <w:p w:rsidR="00EF16F8" w:rsidRDefault="00EF16F8" w:rsidP="00AA6276">
            <w:pPr>
              <w:pStyle w:val="Prrafodelista"/>
              <w:rPr>
                <w:rFonts w:ascii="Arial" w:hAnsi="Arial" w:cs="Arial"/>
              </w:rPr>
            </w:pPr>
          </w:p>
          <w:p w:rsidR="00EF16F8" w:rsidRDefault="00EF16F8" w:rsidP="00EF16F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1E02">
              <w:rPr>
                <w:rFonts w:ascii="Arial" w:hAnsi="Arial" w:cs="Arial"/>
                <w:b/>
              </w:rPr>
              <w:t>FERNÁNDEZ RAMOS, S</w:t>
            </w:r>
            <w:r>
              <w:rPr>
                <w:rFonts w:ascii="Arial" w:hAnsi="Arial" w:cs="Arial"/>
              </w:rPr>
              <w:t xml:space="preserve">., “El acceso a la información en el proyecto de ley de Transparencia, Acceso a la Información pública y Buen Gobierno” en </w:t>
            </w:r>
            <w:r w:rsidRPr="00DF3E12">
              <w:rPr>
                <w:rFonts w:ascii="Arial" w:hAnsi="Arial" w:cs="Arial"/>
                <w:i/>
              </w:rPr>
              <w:t>Revista Aragonesa de Administración Pública</w:t>
            </w:r>
            <w:r>
              <w:rPr>
                <w:rFonts w:ascii="Arial" w:hAnsi="Arial" w:cs="Arial"/>
              </w:rPr>
              <w:t>, nº 14, 2013 (monográfico sobre Transparencia, Participación ciudadana y Administración pública en el siglo XXI);</w:t>
            </w:r>
          </w:p>
          <w:p w:rsidR="00EF16F8" w:rsidRDefault="00EF16F8" w:rsidP="00AA6276">
            <w:pPr>
              <w:pStyle w:val="Prrafodelista"/>
              <w:rPr>
                <w:rFonts w:ascii="Arial" w:hAnsi="Arial" w:cs="Arial"/>
              </w:rPr>
            </w:pPr>
          </w:p>
          <w:p w:rsidR="00EF16F8" w:rsidRDefault="00EF16F8" w:rsidP="00EF16F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1E02">
              <w:rPr>
                <w:rFonts w:ascii="Arial" w:hAnsi="Arial" w:cs="Arial"/>
                <w:b/>
              </w:rPr>
              <w:t>GUICHOT E.</w:t>
            </w:r>
            <w:r>
              <w:rPr>
                <w:rFonts w:ascii="Arial" w:hAnsi="Arial" w:cs="Arial"/>
              </w:rPr>
              <w:t xml:space="preserve">, “El anteproyecto de ley de transparencia” en el </w:t>
            </w:r>
            <w:r w:rsidRPr="001A1E02">
              <w:rPr>
                <w:rFonts w:ascii="Arial" w:hAnsi="Arial" w:cs="Arial"/>
                <w:i/>
              </w:rPr>
              <w:t>Cronista del Estado Social y Democrático de Derecho</w:t>
            </w:r>
            <w:r>
              <w:rPr>
                <w:rFonts w:ascii="Arial" w:hAnsi="Arial" w:cs="Arial"/>
              </w:rPr>
              <w:t>, nº 30, IUSTEL, 2012;</w:t>
            </w:r>
          </w:p>
          <w:p w:rsidR="00EF16F8" w:rsidRDefault="00EF16F8" w:rsidP="00AA6276">
            <w:pPr>
              <w:pStyle w:val="Prrafodelista"/>
              <w:rPr>
                <w:rFonts w:ascii="Arial" w:hAnsi="Arial" w:cs="Arial"/>
              </w:rPr>
            </w:pPr>
          </w:p>
          <w:p w:rsidR="00EF16F8" w:rsidRDefault="00EF16F8" w:rsidP="00EF16F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1E02">
              <w:rPr>
                <w:rFonts w:ascii="Arial" w:hAnsi="Arial" w:cs="Arial"/>
                <w:b/>
              </w:rPr>
              <w:t>SOTO LOSTAL, S</w:t>
            </w:r>
            <w:r>
              <w:rPr>
                <w:rFonts w:ascii="Arial" w:hAnsi="Arial" w:cs="Arial"/>
              </w:rPr>
              <w:t xml:space="preserve">., </w:t>
            </w:r>
            <w:r w:rsidRPr="001A1E02">
              <w:rPr>
                <w:rFonts w:ascii="Arial" w:hAnsi="Arial" w:cs="Arial"/>
                <w:i/>
              </w:rPr>
              <w:t>El Derecho de acceso a la información, el Estado social y el buen gobierno</w:t>
            </w:r>
            <w:r>
              <w:rPr>
                <w:rFonts w:ascii="Arial" w:hAnsi="Arial" w:cs="Arial"/>
              </w:rPr>
              <w:t>, Tirant lo Blanch, Valencia 2011;</w:t>
            </w:r>
          </w:p>
          <w:p w:rsidR="00EF16F8" w:rsidRDefault="00EF16F8" w:rsidP="00AA6276">
            <w:pPr>
              <w:pStyle w:val="Prrafodelista"/>
              <w:rPr>
                <w:rFonts w:ascii="Arial" w:hAnsi="Arial" w:cs="Arial"/>
              </w:rPr>
            </w:pPr>
          </w:p>
          <w:p w:rsidR="00EF16F8" w:rsidRDefault="00EF16F8" w:rsidP="00EF16F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1E02">
              <w:rPr>
                <w:rFonts w:ascii="Arial" w:hAnsi="Arial" w:cs="Arial"/>
                <w:b/>
              </w:rPr>
              <w:t>EMBID IRUJO A</w:t>
            </w:r>
            <w:r>
              <w:rPr>
                <w:rFonts w:ascii="Arial" w:hAnsi="Arial" w:cs="Arial"/>
              </w:rPr>
              <w:t xml:space="preserve">., “El Derecho de acceso a los archivos y registros administrativos. Algunas reflexiones en las vísperas de sus consagraciones legislativas en la protección jurídica del ciudadano” en </w:t>
            </w:r>
            <w:r w:rsidRPr="001A1E02">
              <w:rPr>
                <w:rFonts w:ascii="Arial" w:hAnsi="Arial" w:cs="Arial"/>
                <w:i/>
              </w:rPr>
              <w:t>Estudios en homenaje a Jesús González Pérez</w:t>
            </w:r>
            <w:r>
              <w:rPr>
                <w:rFonts w:ascii="Arial" w:hAnsi="Arial" w:cs="Arial"/>
              </w:rPr>
              <w:t>, Civitas 1993;</w:t>
            </w:r>
          </w:p>
          <w:p w:rsidR="00EF16F8" w:rsidRDefault="00EF16F8" w:rsidP="00AA6276">
            <w:pPr>
              <w:pStyle w:val="Prrafodelista"/>
              <w:rPr>
                <w:rFonts w:ascii="Arial" w:hAnsi="Arial" w:cs="Arial"/>
              </w:rPr>
            </w:pPr>
          </w:p>
          <w:p w:rsidR="00EF16F8" w:rsidRPr="00DF3E12" w:rsidRDefault="00EF16F8" w:rsidP="00EF16F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1E02">
              <w:rPr>
                <w:rFonts w:ascii="Arial" w:hAnsi="Arial" w:cs="Arial"/>
                <w:b/>
              </w:rPr>
              <w:t xml:space="preserve">JIMÉNEZ PLAZA, M. I., </w:t>
            </w:r>
            <w:r w:rsidRPr="001A1E02">
              <w:rPr>
                <w:rFonts w:ascii="Arial" w:hAnsi="Arial" w:cs="Arial"/>
                <w:i/>
              </w:rPr>
              <w:t>El derecho de acceso a la información municipal</w:t>
            </w:r>
            <w:r>
              <w:rPr>
                <w:rFonts w:ascii="Arial" w:hAnsi="Arial" w:cs="Arial"/>
              </w:rPr>
              <w:t>, IUSTEL, Madrid 2006;</w:t>
            </w:r>
          </w:p>
          <w:p w:rsidR="00EF16F8" w:rsidRPr="00DF3E12" w:rsidRDefault="00EF16F8" w:rsidP="00AA62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F16F8" w:rsidRPr="00D32CA6" w:rsidTr="00AA6276">
        <w:trPr>
          <w:trHeight w:val="718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EF16F8" w:rsidRPr="00D32CA6" w:rsidRDefault="00EF16F8" w:rsidP="00AA627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 Narrow" w:hAnsi="Arial Narrow"/>
                <w:color w:val="231F2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 xml:space="preserve">Otros recursos </w:t>
            </w:r>
          </w:p>
        </w:tc>
      </w:tr>
      <w:tr w:rsidR="00EF16F8" w:rsidRPr="00D32CA6" w:rsidTr="00AA6276">
        <w:trPr>
          <w:trHeight w:val="1037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EF16F8" w:rsidRDefault="00EF16F8" w:rsidP="00AA6276">
            <w:pPr>
              <w:spacing w:before="120" w:line="240" w:lineRule="exact"/>
              <w:rPr>
                <w:rFonts w:ascii="Arial Narrow" w:hAnsi="Arial Narrow" w:cs="Arial"/>
                <w:b/>
                <w:i/>
                <w:color w:val="000080"/>
              </w:rPr>
            </w:pPr>
          </w:p>
          <w:p w:rsidR="00EF16F8" w:rsidRDefault="00EF16F8" w:rsidP="00EF16F8">
            <w:pPr>
              <w:numPr>
                <w:ilvl w:val="0"/>
                <w:numId w:val="16"/>
              </w:numPr>
              <w:spacing w:before="120" w:line="240" w:lineRule="exact"/>
              <w:rPr>
                <w:rFonts w:ascii="Arial Narrow" w:hAnsi="Arial Narrow" w:cs="Arial"/>
                <w:color w:val="000080"/>
              </w:rPr>
            </w:pPr>
            <w:r w:rsidRPr="00122361">
              <w:rPr>
                <w:rFonts w:ascii="Arial Narrow" w:hAnsi="Arial Narrow" w:cs="Arial"/>
                <w:b/>
                <w:shd w:val="clear" w:color="auto" w:fill="FFFFFF"/>
              </w:rPr>
              <w:t>Páginas webs recomendadas</w:t>
            </w:r>
            <w:r>
              <w:rPr>
                <w:rFonts w:ascii="Arial Narrow" w:hAnsi="Arial Narrow" w:cs="Arial"/>
                <w:color w:val="000080"/>
              </w:rPr>
              <w:t>:</w:t>
            </w:r>
          </w:p>
          <w:p w:rsidR="00EF16F8" w:rsidRDefault="00F4397A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hyperlink r:id="rId7" w:history="1">
              <w:r w:rsidR="00EF16F8" w:rsidRPr="00122361">
                <w:rPr>
                  <w:rStyle w:val="Hipervnculo"/>
                  <w:rFonts w:ascii="Arial Narrow" w:hAnsi="Arial Narrow" w:cs="Arial"/>
                </w:rPr>
                <w:t>http://www.consejodetransparencia.es/ct_Home</w:t>
              </w:r>
            </w:hyperlink>
          </w:p>
          <w:p w:rsidR="00EF16F8" w:rsidRDefault="00F4397A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hyperlink r:id="rId8" w:history="1">
              <w:r w:rsidR="00EF16F8" w:rsidRPr="00122361">
                <w:rPr>
                  <w:rStyle w:val="Hipervnculo"/>
                  <w:rFonts w:ascii="Arial Narrow" w:hAnsi="Arial Narrow" w:cs="Arial"/>
                </w:rPr>
                <w:t>http://transparencia.gob.es/</w:t>
              </w:r>
            </w:hyperlink>
          </w:p>
          <w:p w:rsidR="00EF16F8" w:rsidRDefault="00EF16F8" w:rsidP="00EF16F8">
            <w:pPr>
              <w:numPr>
                <w:ilvl w:val="0"/>
                <w:numId w:val="16"/>
              </w:numPr>
              <w:spacing w:before="120" w:line="240" w:lineRule="exact"/>
              <w:rPr>
                <w:rFonts w:ascii="Arial Narrow" w:hAnsi="Arial Narrow" w:cs="Arial"/>
                <w:color w:val="000080"/>
              </w:rPr>
            </w:pPr>
            <w:r w:rsidRPr="00221561">
              <w:rPr>
                <w:rFonts w:ascii="Arial Narrow" w:hAnsi="Arial Narrow" w:cs="Arial"/>
                <w:b/>
              </w:rPr>
              <w:t>JURISPRUDENCIA</w:t>
            </w:r>
            <w:r>
              <w:rPr>
                <w:rFonts w:ascii="Arial Narrow" w:hAnsi="Arial Narrow" w:cs="Arial"/>
                <w:color w:val="000080"/>
              </w:rPr>
              <w:t>:</w:t>
            </w:r>
          </w:p>
          <w:p w:rsidR="00EF16F8" w:rsidRDefault="00EF16F8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lastRenderedPageBreak/>
              <w:t>STEDH 1987, ASUNTO Leander c. Suecia, de 26 de marzo</w:t>
            </w:r>
          </w:p>
          <w:p w:rsidR="00EF16F8" w:rsidRDefault="00EF16F8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STEDH 2004, ASUNTO Loiseau c. Francia de 28 de septiembre</w:t>
            </w:r>
          </w:p>
          <w:p w:rsidR="00EF16F8" w:rsidRDefault="00EF16F8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STEDH 2006, ASUNTO Sdruzeni Jihoceské Matky c. Czech Republic de 10 de julio</w:t>
            </w:r>
          </w:p>
          <w:p w:rsidR="00EF16F8" w:rsidRDefault="00EF16F8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STEDH 2009, ASUNTO Társaság a Szabadságjogokért c. Hungría de 14 de abril</w:t>
            </w:r>
          </w:p>
          <w:p w:rsidR="00EF16F8" w:rsidRDefault="00EF16F8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 xml:space="preserve">STEDH 2009, ASUNTO Kennedy c. Hungría de 16 de agosto </w:t>
            </w:r>
          </w:p>
          <w:p w:rsidR="00EF16F8" w:rsidRDefault="00EF16F8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STEDH 2000, ASUNTO Amann c. Suiza de 16 de febrero</w:t>
            </w:r>
          </w:p>
          <w:p w:rsidR="00EF16F8" w:rsidRDefault="00EF16F8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STEDH 2000, ASUNTO Rotaru c.Rumanía de 4 de mayo</w:t>
            </w:r>
          </w:p>
          <w:p w:rsidR="00EF16F8" w:rsidRDefault="00EF16F8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STJUE 29 junio 2010 Comision c. Bavarian Lager Asunto C-28/08 P</w:t>
            </w:r>
          </w:p>
          <w:p w:rsidR="00EF16F8" w:rsidRPr="002042B0" w:rsidRDefault="00EF16F8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 w:rsidRPr="002042B0">
              <w:rPr>
                <w:rFonts w:ascii="Arial Narrow" w:hAnsi="Arial Narrow" w:cs="Arial"/>
                <w:color w:val="000080"/>
              </w:rPr>
              <w:t>STJUE  9 noviembre 2010 Volker und Markus Schecke  y Hartmut Eifert Asuntos acumulados C-</w:t>
            </w:r>
            <w:r>
              <w:rPr>
                <w:rFonts w:ascii="Arial Narrow" w:hAnsi="Arial Narrow" w:cs="Arial"/>
                <w:color w:val="000080"/>
              </w:rPr>
              <w:t>92/09 93/09</w:t>
            </w:r>
          </w:p>
          <w:p w:rsidR="00EF16F8" w:rsidRDefault="00EF16F8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Comisión Interamericana Informe 31/05, Sentencia 19 septiembre de 2006 ASUNTO Claude Reyes y otros c. Chile</w:t>
            </w:r>
          </w:p>
          <w:p w:rsidR="00EF16F8" w:rsidRDefault="00EF16F8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STC 11/1981, de 8 de abril</w:t>
            </w:r>
          </w:p>
          <w:p w:rsidR="00EF16F8" w:rsidRDefault="00EF16F8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STC 74/1982, de 7 de diciembre</w:t>
            </w:r>
          </w:p>
          <w:p w:rsidR="00EF16F8" w:rsidRDefault="00EF16F8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STC 19/1983, de 14 de marzo</w:t>
            </w:r>
          </w:p>
          <w:p w:rsidR="00EF16F8" w:rsidRDefault="00EF16F8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STC 159/1986, de 12 de diciembre</w:t>
            </w:r>
          </w:p>
          <w:p w:rsidR="00EF16F8" w:rsidRDefault="00EF16F8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STC 161/1988, de 20 de septiembre</w:t>
            </w:r>
          </w:p>
          <w:p w:rsidR="00EF16F8" w:rsidRDefault="00EF16F8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STC 204/1997, de 25 noviembre</w:t>
            </w:r>
          </w:p>
          <w:p w:rsidR="00EF16F8" w:rsidRDefault="00EF16F8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STC 169/2000, de 9 de julio</w:t>
            </w:r>
          </w:p>
          <w:p w:rsidR="00EF16F8" w:rsidRDefault="00EF16F8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STC 20/2011, de 14 de marzo</w:t>
            </w:r>
          </w:p>
          <w:p w:rsidR="00EF16F8" w:rsidRDefault="00EF16F8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</w:p>
          <w:p w:rsidR="00EF16F8" w:rsidRPr="00221561" w:rsidRDefault="00EF16F8" w:rsidP="00AA6276">
            <w:pPr>
              <w:spacing w:before="120" w:line="240" w:lineRule="exact"/>
              <w:ind w:left="720"/>
              <w:rPr>
                <w:rFonts w:ascii="Arial Narrow" w:hAnsi="Arial Narrow" w:cs="Arial"/>
                <w:color w:val="000080"/>
              </w:rPr>
            </w:pPr>
          </w:p>
        </w:tc>
      </w:tr>
    </w:tbl>
    <w:p w:rsidR="00EF16F8" w:rsidRDefault="00EF16F8" w:rsidP="00EF16F8"/>
    <w:p w:rsidR="00EF16F8" w:rsidRDefault="00EF16F8" w:rsidP="00EF16F8">
      <w:pPr>
        <w:jc w:val="both"/>
      </w:pPr>
    </w:p>
    <w:p w:rsidR="00EF16F8" w:rsidRDefault="00EF16F8" w:rsidP="00EF16F8">
      <w:pPr>
        <w:jc w:val="both"/>
      </w:pPr>
    </w:p>
    <w:p w:rsidR="00EF16F8" w:rsidRDefault="00EF16F8" w:rsidP="00EF16F8">
      <w:pPr>
        <w:jc w:val="both"/>
        <w:rPr>
          <w:rFonts w:ascii="Arial Narrow" w:hAnsi="Arial Narrow" w:cs="Arial"/>
          <w:u w:val="single"/>
        </w:rPr>
      </w:pPr>
    </w:p>
    <w:p w:rsidR="00EF16F8" w:rsidRPr="00E85528" w:rsidRDefault="00EF16F8" w:rsidP="00EF16F8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GESTIÓN DEL PROCESO DE APRENDIZAJE</w:t>
      </w:r>
    </w:p>
    <w:p w:rsidR="00EF16F8" w:rsidRDefault="00EF16F8" w:rsidP="00EF16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15"/>
      </w:tblGrid>
      <w:tr w:rsidR="00EF16F8" w:rsidRPr="00D32CA6" w:rsidTr="00AA6276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:rsidR="00EF16F8" w:rsidRPr="00D32CA6" w:rsidRDefault="00EF16F8" w:rsidP="00AA6276">
            <w:pPr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</w:p>
          <w:p w:rsidR="00EF16F8" w:rsidRPr="00D32CA6" w:rsidRDefault="00EF16F8" w:rsidP="00AA6276">
            <w:pPr>
              <w:spacing w:line="240" w:lineRule="exact"/>
              <w:jc w:val="center"/>
              <w:rPr>
                <w:rFonts w:ascii="Arial Narrow" w:hAnsi="Arial Narrow" w:cs="Arial"/>
                <w:color w:val="000080"/>
              </w:rPr>
            </w:pPr>
            <w:r w:rsidRPr="00195047">
              <w:rPr>
                <w:rFonts w:ascii="Arial" w:hAnsi="Arial"/>
                <w:b/>
                <w:sz w:val="20"/>
              </w:rPr>
              <w:t>ACTIVIDADES PRESENCIALES DE ALUMNOS/AS Y PROFESORES/AS</w:t>
            </w:r>
            <w:r w:rsidRPr="00D32CA6">
              <w:rPr>
                <w:rFonts w:ascii="Arial Narrow" w:hAnsi="Arial Narrow" w:cs="Arial"/>
                <w:color w:val="000080"/>
              </w:rPr>
              <w:t xml:space="preserve"> </w:t>
            </w:r>
          </w:p>
        </w:tc>
      </w:tr>
      <w:tr w:rsidR="00EF16F8" w:rsidRPr="00D32CA6" w:rsidTr="00AA6276">
        <w:trPr>
          <w:trHeight w:val="207"/>
        </w:trPr>
        <w:tc>
          <w:tcPr>
            <w:tcW w:w="3646" w:type="pct"/>
            <w:tcBorders>
              <w:top w:val="doub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AA6276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color w:val="000080"/>
              </w:rPr>
              <w:t>Seleccione las técnicas que va a utilizar en el desarrollo de su asignatura. Puede añadir otras</w:t>
            </w:r>
            <w:r>
              <w:rPr>
                <w:rFonts w:ascii="Arial Narrow" w:hAnsi="Arial Narrow" w:cs="Arial"/>
                <w:color w:val="000080"/>
              </w:rPr>
              <w:t xml:space="preserve"> o sustituir las que aparecen como ejemplos: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CCECFF"/>
          </w:tcPr>
          <w:p w:rsidR="00EF16F8" w:rsidRPr="0034198F" w:rsidRDefault="00EF16F8" w:rsidP="00AA627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Arial Narrow" w:hAnsi="Arial Narrow"/>
              </w:rPr>
            </w:pPr>
            <w:r w:rsidRPr="0034198F">
              <w:rPr>
                <w:rFonts w:ascii="Arial" w:hAnsi="Arial"/>
                <w:b/>
              </w:rPr>
              <w:t>Horas previstas</w:t>
            </w:r>
          </w:p>
        </w:tc>
      </w:tr>
      <w:tr w:rsidR="00EF16F8" w:rsidRPr="00D32CA6" w:rsidTr="00AA6276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AA6276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b/>
                <w:color w:val="000080"/>
              </w:rPr>
              <w:t>Sesiones académicas teóricas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221561" w:rsidRDefault="00EF16F8" w:rsidP="00AA627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  <w:b/>
              </w:rPr>
            </w:pPr>
            <w:r w:rsidRPr="00221561">
              <w:rPr>
                <w:rFonts w:ascii="Arial Narrow" w:hAnsi="Arial Narrow"/>
                <w:b/>
              </w:rPr>
              <w:t>37,5 horas teóricas</w:t>
            </w:r>
          </w:p>
        </w:tc>
      </w:tr>
      <w:tr w:rsidR="00EF16F8" w:rsidRPr="00D32CA6" w:rsidTr="00AA6276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AA6276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b/>
                <w:color w:val="000080"/>
              </w:rPr>
              <w:t>Sesiones académicas de problemas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221561" w:rsidRDefault="00EF16F8" w:rsidP="00AA627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  <w:b/>
              </w:rPr>
            </w:pPr>
            <w:r w:rsidRPr="00221561">
              <w:rPr>
                <w:rFonts w:ascii="Arial Narrow" w:hAnsi="Arial Narrow"/>
                <w:b/>
              </w:rPr>
              <w:t>15,5 horas prácticas</w:t>
            </w:r>
          </w:p>
        </w:tc>
      </w:tr>
      <w:tr w:rsidR="00EF16F8" w:rsidRPr="00221561" w:rsidTr="00AA6276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AA6276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b/>
                <w:color w:val="000080"/>
              </w:rPr>
              <w:t xml:space="preserve">Tutorías </w:t>
            </w:r>
            <w:r>
              <w:rPr>
                <w:rFonts w:ascii="Arial Narrow" w:hAnsi="Arial Narrow" w:cs="Arial"/>
                <w:b/>
                <w:color w:val="000080"/>
              </w:rPr>
              <w:t>grupales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221561" w:rsidRDefault="00EF16F8" w:rsidP="00AA627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  <w:b/>
              </w:rPr>
            </w:pPr>
            <w:r w:rsidRPr="00221561">
              <w:rPr>
                <w:rFonts w:ascii="Arial Narrow" w:hAnsi="Arial Narrow"/>
                <w:b/>
              </w:rPr>
              <w:t>12 horas teórico/prácticas</w:t>
            </w:r>
          </w:p>
        </w:tc>
      </w:tr>
      <w:tr w:rsidR="00EF16F8" w:rsidRPr="00D32CA6" w:rsidTr="00AA6276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AA6276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Presentaciones</w:t>
            </w:r>
            <w:r w:rsidRPr="00D32CA6">
              <w:rPr>
                <w:rFonts w:ascii="Arial Narrow" w:hAnsi="Arial Narrow" w:cs="Arial"/>
                <w:b/>
                <w:color w:val="000080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80"/>
              </w:rPr>
              <w:t>y debates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221561" w:rsidRDefault="00EF16F8" w:rsidP="00AA627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  <w:b/>
              </w:rPr>
            </w:pPr>
            <w:r w:rsidRPr="00221561">
              <w:rPr>
                <w:rFonts w:ascii="Arial Narrow" w:hAnsi="Arial Narrow"/>
                <w:b/>
              </w:rPr>
              <w:t>10 horas prácticas</w:t>
            </w:r>
          </w:p>
        </w:tc>
      </w:tr>
      <w:tr w:rsidR="00EF16F8" w:rsidRPr="00D32CA6" w:rsidTr="00AA6276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AA6276">
            <w:pPr>
              <w:spacing w:before="120" w:line="240" w:lineRule="exact"/>
              <w:jc w:val="righ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TOTAL DE HORAS PRESENCIALES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700A05" w:rsidRDefault="00EF16F8" w:rsidP="00AA627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  <w:b/>
              </w:rPr>
            </w:pPr>
            <w:r w:rsidRPr="00700A05">
              <w:rPr>
                <w:rFonts w:ascii="Arial Narrow" w:hAnsi="Arial Narrow"/>
                <w:b/>
              </w:rPr>
              <w:t>75 horas presenciales</w:t>
            </w:r>
          </w:p>
        </w:tc>
      </w:tr>
    </w:tbl>
    <w:p w:rsidR="00EF16F8" w:rsidRDefault="00EF16F8" w:rsidP="00EF16F8"/>
    <w:p w:rsidR="00EF16F8" w:rsidRDefault="00EF16F8" w:rsidP="00EF16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15"/>
      </w:tblGrid>
      <w:tr w:rsidR="00EF16F8" w:rsidRPr="00D32CA6" w:rsidTr="00AA6276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:rsidR="00EF16F8" w:rsidRPr="00D32CA6" w:rsidRDefault="00EF16F8" w:rsidP="00AA6276">
            <w:pPr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</w:p>
          <w:p w:rsidR="00EF16F8" w:rsidRPr="00D32CA6" w:rsidRDefault="00EF16F8" w:rsidP="00AA6276">
            <w:pPr>
              <w:spacing w:line="240" w:lineRule="exact"/>
              <w:jc w:val="center"/>
              <w:rPr>
                <w:rFonts w:ascii="Arial Narrow" w:hAnsi="Arial Narrow" w:cs="Arial"/>
                <w:color w:val="000080"/>
              </w:rPr>
            </w:pPr>
            <w:r w:rsidRPr="00195047">
              <w:rPr>
                <w:rFonts w:ascii="Arial" w:hAnsi="Arial"/>
                <w:b/>
                <w:sz w:val="20"/>
              </w:rPr>
              <w:t xml:space="preserve">ACTIVIDADES </w:t>
            </w:r>
            <w:r>
              <w:rPr>
                <w:rFonts w:ascii="Arial" w:hAnsi="Arial"/>
                <w:b/>
                <w:sz w:val="20"/>
              </w:rPr>
              <w:t xml:space="preserve">DE TRABAJO AUTÓNOMO </w:t>
            </w:r>
            <w:r w:rsidRPr="00195047">
              <w:rPr>
                <w:rFonts w:ascii="Arial" w:hAnsi="Arial"/>
                <w:b/>
                <w:sz w:val="20"/>
              </w:rPr>
              <w:t xml:space="preserve">DE </w:t>
            </w:r>
            <w:r>
              <w:rPr>
                <w:rFonts w:ascii="Arial" w:hAnsi="Arial"/>
                <w:b/>
                <w:sz w:val="20"/>
              </w:rPr>
              <w:t xml:space="preserve">LOS/AS </w:t>
            </w:r>
            <w:r w:rsidRPr="00195047">
              <w:rPr>
                <w:rFonts w:ascii="Arial" w:hAnsi="Arial"/>
                <w:b/>
                <w:sz w:val="20"/>
              </w:rPr>
              <w:t>ALUMNOS/AS</w:t>
            </w:r>
          </w:p>
        </w:tc>
      </w:tr>
      <w:tr w:rsidR="00EF16F8" w:rsidRPr="00D32CA6" w:rsidTr="00AA6276">
        <w:trPr>
          <w:trHeight w:val="207"/>
        </w:trPr>
        <w:tc>
          <w:tcPr>
            <w:tcW w:w="3646" w:type="pct"/>
            <w:tcBorders>
              <w:top w:val="doub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AA6276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color w:val="000080"/>
              </w:rPr>
              <w:lastRenderedPageBreak/>
              <w:t>Seleccione las técnicas que va a utilizar en el desarrollo de su asignatura. Puede añadir otras</w:t>
            </w:r>
            <w:r>
              <w:rPr>
                <w:rFonts w:ascii="Arial Narrow" w:hAnsi="Arial Narrow" w:cs="Arial"/>
                <w:color w:val="000080"/>
              </w:rPr>
              <w:t xml:space="preserve"> o sustituir las que aparecen como ejemplos: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CCECFF"/>
          </w:tcPr>
          <w:p w:rsidR="00EF16F8" w:rsidRPr="0034198F" w:rsidRDefault="00EF16F8" w:rsidP="00AA627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Arial Narrow" w:hAnsi="Arial Narrow"/>
              </w:rPr>
            </w:pPr>
            <w:r w:rsidRPr="0034198F">
              <w:rPr>
                <w:rFonts w:ascii="Arial" w:hAnsi="Arial"/>
                <w:b/>
              </w:rPr>
              <w:t>Horas previstas</w:t>
            </w:r>
          </w:p>
        </w:tc>
      </w:tr>
      <w:tr w:rsidR="00EF16F8" w:rsidRPr="00D32CA6" w:rsidTr="00AA6276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BF199F" w:rsidRDefault="00EF16F8" w:rsidP="00AA6276">
            <w:pPr>
              <w:spacing w:before="120"/>
              <w:rPr>
                <w:rFonts w:ascii="Arial" w:hAnsi="Arial"/>
                <w:sz w:val="20"/>
              </w:rPr>
            </w:pPr>
            <w:r w:rsidRPr="00195047">
              <w:rPr>
                <w:rFonts w:ascii="Arial" w:hAnsi="Arial"/>
                <w:sz w:val="20"/>
              </w:rPr>
              <w:t xml:space="preserve">Preparación de seminarios, </w:t>
            </w:r>
            <w:r>
              <w:rPr>
                <w:rFonts w:ascii="Arial" w:hAnsi="Arial"/>
                <w:sz w:val="20"/>
              </w:rPr>
              <w:t>lecturas, investigaciones, etc.</w:t>
            </w:r>
            <w:r w:rsidRPr="00195047">
              <w:rPr>
                <w:rFonts w:ascii="Arial" w:hAnsi="Arial"/>
                <w:sz w:val="20"/>
              </w:rPr>
              <w:t>, para exponer y entregar en las clases teóricas y prácticas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221561" w:rsidRDefault="00EF16F8" w:rsidP="00AA627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  <w:b/>
              </w:rPr>
            </w:pPr>
            <w:r w:rsidRPr="00221561">
              <w:rPr>
                <w:rFonts w:ascii="Arial Narrow" w:hAnsi="Arial Narrow"/>
                <w:b/>
              </w:rPr>
              <w:t>10 horas</w:t>
            </w:r>
          </w:p>
        </w:tc>
      </w:tr>
      <w:tr w:rsidR="00EF16F8" w:rsidRPr="00D32CA6" w:rsidTr="00AA6276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B44A85" w:rsidRDefault="00EF16F8" w:rsidP="00AA6276">
            <w:pPr>
              <w:pStyle w:val="Textoindependiente2"/>
              <w:spacing w:before="120"/>
              <w:rPr>
                <w:rFonts w:cs="Arial"/>
                <w:color w:val="auto"/>
              </w:rPr>
            </w:pPr>
            <w:r w:rsidRPr="00B44A85">
              <w:rPr>
                <w:rFonts w:cs="Arial"/>
                <w:color w:val="auto"/>
              </w:rPr>
              <w:t>Preparación de trabajos finales para entregar a la conclusión del curso: trabajos de análisis y revisiones teóricas y de investigación en el campo de la comunicación (trabajos exploratorios, de recopilación de fuentes bibliográficas, estadísticas, históricas, etc.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221561" w:rsidRDefault="00EF16F8" w:rsidP="00AA627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  <w:b/>
              </w:rPr>
            </w:pPr>
            <w:r w:rsidRPr="00221561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3</w:t>
            </w:r>
            <w:r w:rsidRPr="00221561">
              <w:rPr>
                <w:rFonts w:ascii="Arial Narrow" w:hAnsi="Arial Narrow"/>
                <w:b/>
              </w:rPr>
              <w:t xml:space="preserve"> horas</w:t>
            </w:r>
          </w:p>
        </w:tc>
      </w:tr>
      <w:tr w:rsidR="00EF16F8" w:rsidRPr="00D32CA6" w:rsidTr="00AA6276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AA6276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" w:hAnsi="Arial"/>
                <w:sz w:val="20"/>
              </w:rPr>
              <w:t>A</w:t>
            </w:r>
            <w:r w:rsidRPr="00195047">
              <w:rPr>
                <w:rFonts w:ascii="Arial" w:hAnsi="Arial"/>
                <w:sz w:val="20"/>
              </w:rPr>
              <w:t>ctividades formativas alternativas relacionadas con la asignatura y de interés para la formación del estudiante. Asistencia a jornadas, congresos y conferencias, etc.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221561" w:rsidRDefault="00EF16F8" w:rsidP="00AA627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  <w:b/>
              </w:rPr>
            </w:pPr>
            <w:r w:rsidRPr="00221561">
              <w:rPr>
                <w:rFonts w:ascii="Arial Narrow" w:hAnsi="Arial Narrow"/>
                <w:b/>
              </w:rPr>
              <w:t>2 horas</w:t>
            </w:r>
          </w:p>
        </w:tc>
      </w:tr>
      <w:tr w:rsidR="00EF16F8" w:rsidRPr="00D32CA6" w:rsidTr="00AA6276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AA6276">
            <w:pPr>
              <w:spacing w:before="120" w:line="240" w:lineRule="exact"/>
              <w:jc w:val="righ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TOTAL DE HORAS DE TRABAJO AUTÓNOMO DE LOS ALUMNOS/AS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221561" w:rsidRDefault="00EF16F8" w:rsidP="00AA627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  <w:b/>
              </w:rPr>
            </w:pPr>
            <w:r w:rsidRPr="00221561">
              <w:rPr>
                <w:rFonts w:ascii="Arial Narrow" w:hAnsi="Arial Narrow"/>
                <w:b/>
              </w:rPr>
              <w:t>25 horas de trabajo del alumno</w:t>
            </w:r>
          </w:p>
        </w:tc>
      </w:tr>
    </w:tbl>
    <w:p w:rsidR="00EF16F8" w:rsidRDefault="00EF16F8" w:rsidP="00EF16F8"/>
    <w:p w:rsidR="00EF16F8" w:rsidRDefault="00EF16F8" w:rsidP="00EF16F8">
      <w:pPr>
        <w:jc w:val="both"/>
        <w:rPr>
          <w:rFonts w:ascii="Arial Narrow" w:hAnsi="Arial Narrow" w:cs="Arial"/>
          <w:u w:val="single"/>
        </w:rPr>
      </w:pPr>
    </w:p>
    <w:p w:rsidR="00EF16F8" w:rsidRPr="00E85528" w:rsidRDefault="00EF16F8" w:rsidP="00EF16F8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EVALUACIÓN (detallar % de la nota según las actividades)</w:t>
      </w:r>
    </w:p>
    <w:p w:rsidR="00EF16F8" w:rsidRDefault="00EF16F8" w:rsidP="00EF16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2830"/>
      </w:tblGrid>
      <w:tr w:rsidR="00EF16F8" w:rsidRPr="00D32CA6" w:rsidTr="00AA6276">
        <w:trPr>
          <w:trHeight w:val="345"/>
        </w:trPr>
        <w:tc>
          <w:tcPr>
            <w:tcW w:w="3476" w:type="pct"/>
            <w:tcBorders>
              <w:top w:val="double" w:sz="4" w:space="0" w:color="auto"/>
              <w:right w:val="single" w:sz="4" w:space="0" w:color="auto"/>
            </w:tcBorders>
            <w:shd w:val="clear" w:color="auto" w:fill="CCECFF"/>
          </w:tcPr>
          <w:p w:rsidR="00EF16F8" w:rsidRPr="00D32CA6" w:rsidRDefault="00EF16F8" w:rsidP="00AA6276">
            <w:pPr>
              <w:spacing w:before="120" w:after="12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>
              <w:rPr>
                <w:rFonts w:ascii="Arial Narrow" w:hAnsi="Arial Narrow"/>
                <w:b/>
                <w:color w:val="000080"/>
              </w:rPr>
              <w:t>Actividades que serán evaluadas (ejemplos)</w:t>
            </w:r>
          </w:p>
        </w:tc>
        <w:tc>
          <w:tcPr>
            <w:tcW w:w="1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EF16F8" w:rsidRPr="00D32CA6" w:rsidRDefault="00EF16F8" w:rsidP="00AA6276">
            <w:pPr>
              <w:spacing w:before="120" w:after="12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>
              <w:rPr>
                <w:rFonts w:ascii="Arial Narrow" w:hAnsi="Arial Narrow"/>
                <w:b/>
                <w:color w:val="000080"/>
              </w:rPr>
              <w:t>Calificación (% n</w:t>
            </w:r>
            <w:r w:rsidRPr="00D32CA6">
              <w:rPr>
                <w:rFonts w:ascii="Arial Narrow" w:hAnsi="Arial Narrow"/>
                <w:b/>
                <w:color w:val="000080"/>
              </w:rPr>
              <w:t>ota final)</w:t>
            </w:r>
          </w:p>
        </w:tc>
      </w:tr>
      <w:tr w:rsidR="00EF16F8" w:rsidRPr="00D32CA6" w:rsidTr="00AA6276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AA6276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b/>
                <w:color w:val="000080"/>
              </w:rPr>
              <w:t>Exposici</w:t>
            </w:r>
            <w:r>
              <w:rPr>
                <w:rFonts w:ascii="Arial Narrow" w:hAnsi="Arial Narrow" w:cs="Arial"/>
                <w:b/>
                <w:color w:val="000080"/>
              </w:rPr>
              <w:t>ones</w:t>
            </w:r>
            <w:r w:rsidRPr="00D32CA6">
              <w:rPr>
                <w:rFonts w:ascii="Arial Narrow" w:hAnsi="Arial Narrow" w:cs="Arial"/>
                <w:b/>
                <w:color w:val="000080"/>
              </w:rPr>
              <w:t xml:space="preserve"> oral</w:t>
            </w:r>
            <w:r>
              <w:rPr>
                <w:rFonts w:ascii="Arial Narrow" w:hAnsi="Arial Narrow" w:cs="Arial"/>
                <w:b/>
                <w:color w:val="000080"/>
              </w:rPr>
              <w:t>es</w:t>
            </w:r>
            <w:r w:rsidRPr="00D32CA6">
              <w:rPr>
                <w:rFonts w:ascii="Arial Narrow" w:hAnsi="Arial Narrow" w:cs="Arial"/>
                <w:b/>
                <w:color w:val="000080"/>
              </w:rPr>
              <w:t xml:space="preserve"> 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D32CA6" w:rsidRDefault="00EF16F8" w:rsidP="00AA627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15%</w:t>
            </w:r>
          </w:p>
        </w:tc>
      </w:tr>
      <w:tr w:rsidR="00EF16F8" w:rsidRPr="00D32CA6" w:rsidTr="00AA6276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AA6276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b/>
                <w:color w:val="000080"/>
              </w:rPr>
              <w:t>Asistencia y participación en las clases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Pr="00D32CA6" w:rsidRDefault="00EF16F8" w:rsidP="00AA627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5%</w:t>
            </w:r>
          </w:p>
        </w:tc>
      </w:tr>
      <w:tr w:rsidR="00EF16F8" w:rsidRPr="00D32CA6" w:rsidTr="00AA6276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EF16F8" w:rsidRPr="00D32CA6" w:rsidRDefault="00EF16F8" w:rsidP="00AA6276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Trabajo individual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F16F8" w:rsidRDefault="00EF16F8" w:rsidP="00AA627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70%</w:t>
            </w:r>
          </w:p>
        </w:tc>
      </w:tr>
      <w:tr w:rsidR="00EF16F8" w:rsidRPr="00D32CA6" w:rsidTr="00AA6276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</w:tcPr>
          <w:p w:rsidR="00EF16F8" w:rsidRDefault="00EF16F8" w:rsidP="00AA6276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Trabajo grupal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shd w:val="clear" w:color="auto" w:fill="auto"/>
          </w:tcPr>
          <w:p w:rsidR="00EF16F8" w:rsidRDefault="00EF16F8" w:rsidP="00AA627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10%</w:t>
            </w:r>
          </w:p>
        </w:tc>
      </w:tr>
    </w:tbl>
    <w:p w:rsidR="00EF16F8" w:rsidRPr="00B62949" w:rsidRDefault="00EF16F8" w:rsidP="00EF16F8">
      <w:pPr>
        <w:jc w:val="both"/>
      </w:pPr>
    </w:p>
    <w:p w:rsidR="006D174A" w:rsidRDefault="006D174A"/>
    <w:sectPr w:rsidR="006D174A" w:rsidSect="005304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8" w:bottom="1417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7A" w:rsidRDefault="00F4397A">
      <w:r>
        <w:separator/>
      </w:r>
    </w:p>
  </w:endnote>
  <w:endnote w:type="continuationSeparator" w:id="0">
    <w:p w:rsidR="00F4397A" w:rsidRDefault="00F4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361" w:rsidRDefault="00F439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361" w:rsidRDefault="00EF16F8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578E1">
      <w:rPr>
        <w:noProof/>
      </w:rPr>
      <w:t>1</w:t>
    </w:r>
    <w:r>
      <w:fldChar w:fldCharType="end"/>
    </w:r>
  </w:p>
  <w:p w:rsidR="00122361" w:rsidRDefault="00F439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361" w:rsidRDefault="00F439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7A" w:rsidRDefault="00F4397A">
      <w:r>
        <w:separator/>
      </w:r>
    </w:p>
  </w:footnote>
  <w:footnote w:type="continuationSeparator" w:id="0">
    <w:p w:rsidR="00F4397A" w:rsidRDefault="00F43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361" w:rsidRDefault="00F439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361" w:rsidRDefault="00F439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361" w:rsidRDefault="00F439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60A6D"/>
    <w:multiLevelType w:val="hybridMultilevel"/>
    <w:tmpl w:val="44AABB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0F62"/>
    <w:multiLevelType w:val="hybridMultilevel"/>
    <w:tmpl w:val="CD608DF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D0FE0"/>
    <w:multiLevelType w:val="hybridMultilevel"/>
    <w:tmpl w:val="392492A8"/>
    <w:lvl w:ilvl="0" w:tplc="8F84357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17A67120"/>
    <w:multiLevelType w:val="hybridMultilevel"/>
    <w:tmpl w:val="5D74C7AA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187D30C1"/>
    <w:multiLevelType w:val="hybridMultilevel"/>
    <w:tmpl w:val="2BDC03F0"/>
    <w:lvl w:ilvl="0" w:tplc="0C0A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AA863B1"/>
    <w:multiLevelType w:val="hybridMultilevel"/>
    <w:tmpl w:val="F6048BA0"/>
    <w:lvl w:ilvl="0" w:tplc="A31ABE5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C757073"/>
    <w:multiLevelType w:val="hybridMultilevel"/>
    <w:tmpl w:val="6B24A204"/>
    <w:lvl w:ilvl="0" w:tplc="3994427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EE02D13"/>
    <w:multiLevelType w:val="hybridMultilevel"/>
    <w:tmpl w:val="6A7C91D4"/>
    <w:lvl w:ilvl="0" w:tplc="9EF826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F9D069C"/>
    <w:multiLevelType w:val="hybridMultilevel"/>
    <w:tmpl w:val="7082AB8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8C37C8"/>
    <w:multiLevelType w:val="hybridMultilevel"/>
    <w:tmpl w:val="499EA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31158"/>
    <w:multiLevelType w:val="hybridMultilevel"/>
    <w:tmpl w:val="3BE2A362"/>
    <w:lvl w:ilvl="0" w:tplc="0C0A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1" w15:restartNumberingAfterBreak="0">
    <w:nsid w:val="42947485"/>
    <w:multiLevelType w:val="hybridMultilevel"/>
    <w:tmpl w:val="DBECAA3C"/>
    <w:lvl w:ilvl="0" w:tplc="2E806E1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6B810C9"/>
    <w:multiLevelType w:val="hybridMultilevel"/>
    <w:tmpl w:val="C854DCE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45B8B"/>
    <w:multiLevelType w:val="hybridMultilevel"/>
    <w:tmpl w:val="2702C5E6"/>
    <w:lvl w:ilvl="0" w:tplc="4248203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85840E1"/>
    <w:multiLevelType w:val="hybridMultilevel"/>
    <w:tmpl w:val="8438CB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D1FAD"/>
    <w:multiLevelType w:val="hybridMultilevel"/>
    <w:tmpl w:val="03B0D97E"/>
    <w:lvl w:ilvl="0" w:tplc="6C1833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15"/>
  </w:num>
  <w:num w:numId="9">
    <w:abstractNumId w:val="11"/>
  </w:num>
  <w:num w:numId="10">
    <w:abstractNumId w:val="13"/>
  </w:num>
  <w:num w:numId="11">
    <w:abstractNumId w:val="2"/>
  </w:num>
  <w:num w:numId="12">
    <w:abstractNumId w:val="10"/>
  </w:num>
  <w:num w:numId="13">
    <w:abstractNumId w:val="4"/>
  </w:num>
  <w:num w:numId="14">
    <w:abstractNumId w:val="1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2D"/>
    <w:rsid w:val="006D174A"/>
    <w:rsid w:val="007578E1"/>
    <w:rsid w:val="008724DA"/>
    <w:rsid w:val="00990999"/>
    <w:rsid w:val="009E15BE"/>
    <w:rsid w:val="00CA592D"/>
    <w:rsid w:val="00EF16F8"/>
    <w:rsid w:val="00F4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10DC7-B66B-43A8-936B-F2040294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mbreAsignatura">
    <w:name w:val="NombreAsignatura"/>
    <w:rsid w:val="00EF16F8"/>
    <w:rPr>
      <w:rFonts w:ascii="Arial" w:eastAsia="Times New Roman" w:hAnsi="Arial" w:cs="Arial"/>
      <w:b/>
      <w:sz w:val="28"/>
      <w:szCs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EF16F8"/>
    <w:rPr>
      <w:rFonts w:ascii="Arial" w:hAnsi="Arial"/>
      <w:bCs/>
      <w:color w:val="FF0000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F16F8"/>
    <w:rPr>
      <w:rFonts w:ascii="Arial" w:eastAsia="Times New Roman" w:hAnsi="Arial" w:cs="Times New Roman"/>
      <w:bCs/>
      <w:color w:val="FF0000"/>
      <w:sz w:val="20"/>
      <w:szCs w:val="20"/>
      <w:lang w:eastAsia="es-ES"/>
    </w:rPr>
  </w:style>
  <w:style w:type="paragraph" w:styleId="Prrafodelista">
    <w:name w:val="List Paragraph"/>
    <w:basedOn w:val="Normal"/>
    <w:uiPriority w:val="72"/>
    <w:qFormat/>
    <w:rsid w:val="00EF16F8"/>
    <w:pPr>
      <w:ind w:left="708"/>
    </w:pPr>
  </w:style>
  <w:style w:type="character" w:styleId="Hipervnculo">
    <w:name w:val="Hyperlink"/>
    <w:rsid w:val="00EF16F8"/>
    <w:rPr>
      <w:color w:val="0000FF"/>
      <w:u w:val="single"/>
    </w:rPr>
  </w:style>
  <w:style w:type="paragraph" w:styleId="Encabezado">
    <w:name w:val="header"/>
    <w:basedOn w:val="Normal"/>
    <w:link w:val="EncabezadoCar"/>
    <w:rsid w:val="00EF16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F16F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F16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F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gob.e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onsejodetransparencia.es/ct_Hom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José Manuel Robles</cp:lastModifiedBy>
  <cp:revision>3</cp:revision>
  <dcterms:created xsi:type="dcterms:W3CDTF">2017-07-19T11:50:00Z</dcterms:created>
  <dcterms:modified xsi:type="dcterms:W3CDTF">2017-07-19T11:50:00Z</dcterms:modified>
</cp:coreProperties>
</file>