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F8" w:rsidRPr="00B24A9A" w:rsidRDefault="00EF16F8" w:rsidP="00EF16F8">
      <w:pPr>
        <w:ind w:right="-143"/>
        <w:jc w:val="both"/>
        <w:rPr>
          <w:rFonts w:ascii="Arial" w:hAnsi="Arial" w:cs="Arial"/>
          <w:b/>
          <w:caps/>
        </w:rPr>
      </w:pPr>
    </w:p>
    <w:p w:rsidR="00EF16F8" w:rsidRDefault="00EF16F8" w:rsidP="00EF16F8">
      <w:pPr>
        <w:jc w:val="both"/>
        <w:rPr>
          <w:b/>
          <w:caps/>
        </w:rPr>
      </w:pPr>
    </w:p>
    <w:p w:rsidR="00EF16F8" w:rsidRDefault="00EF16F8" w:rsidP="00EF16F8">
      <w:pPr>
        <w:shd w:val="clear" w:color="auto" w:fill="FFFF00"/>
        <w:jc w:val="center"/>
        <w:rPr>
          <w:b/>
          <w:caps/>
        </w:rPr>
      </w:pPr>
      <w:r>
        <w:rPr>
          <w:b/>
          <w:caps/>
        </w:rPr>
        <w:t>Ficha</w:t>
      </w:r>
      <w:r w:rsidRPr="00614263">
        <w:rPr>
          <w:b/>
          <w:caps/>
        </w:rPr>
        <w:t xml:space="preserve"> de la asignatura</w:t>
      </w:r>
    </w:p>
    <w:p w:rsidR="00EF16F8" w:rsidRDefault="00EF16F8" w:rsidP="00EF16F8">
      <w:pPr>
        <w:jc w:val="center"/>
        <w:rPr>
          <w:b/>
          <w:caps/>
        </w:rPr>
      </w:pPr>
    </w:p>
    <w:p w:rsidR="00EF16F8" w:rsidRDefault="00EF16F8" w:rsidP="00EF16F8">
      <w:pPr>
        <w:jc w:val="center"/>
        <w:rPr>
          <w:b/>
          <w:caps/>
        </w:rPr>
      </w:pPr>
    </w:p>
    <w:p w:rsidR="00EF16F8" w:rsidRPr="00B24A9A" w:rsidRDefault="00EF16F8" w:rsidP="00EF16F8">
      <w:pPr>
        <w:ind w:right="-143"/>
        <w:jc w:val="right"/>
        <w:rPr>
          <w:rFonts w:ascii="Arial" w:hAnsi="Arial" w:cs="Arial"/>
          <w:b/>
          <w:caps/>
        </w:rPr>
      </w:pPr>
    </w:p>
    <w:p w:rsidR="00EF16F8" w:rsidRDefault="00EF16F8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574"/>
        <w:gridCol w:w="1486"/>
      </w:tblGrid>
      <w:tr w:rsidR="00EF16F8" w:rsidRPr="00D32CA6" w:rsidTr="0004408C">
        <w:trPr>
          <w:trHeight w:val="548"/>
        </w:trPr>
        <w:tc>
          <w:tcPr>
            <w:tcW w:w="4180" w:type="pct"/>
            <w:tcBorders>
              <w:left w:val="single" w:sz="4" w:space="0" w:color="C0C0C0"/>
              <w:right w:val="single" w:sz="4" w:space="0" w:color="C0C0C0"/>
            </w:tcBorders>
            <w:shd w:val="clear" w:color="auto" w:fill="FFFF00"/>
          </w:tcPr>
          <w:p w:rsidR="00EF16F8" w:rsidRPr="00F47505" w:rsidRDefault="00EF16F8" w:rsidP="0004408C">
            <w:pPr>
              <w:spacing w:before="120"/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Nombre de la Asignatura</w:t>
            </w:r>
          </w:p>
        </w:tc>
        <w:tc>
          <w:tcPr>
            <w:tcW w:w="820" w:type="pct"/>
            <w:tcBorders>
              <w:left w:val="single" w:sz="4" w:space="0" w:color="C0C0C0"/>
            </w:tcBorders>
            <w:shd w:val="clear" w:color="auto" w:fill="FFFF00"/>
          </w:tcPr>
          <w:p w:rsidR="00EF16F8" w:rsidRPr="00F47505" w:rsidRDefault="00EF16F8" w:rsidP="0004408C">
            <w:pPr>
              <w:jc w:val="center"/>
              <w:rPr>
                <w:rFonts w:ascii="Arial" w:hAnsi="Arial"/>
                <w:b/>
                <w:color w:val="000080"/>
                <w:sz w:val="16"/>
                <w:szCs w:val="16"/>
              </w:rPr>
            </w:pPr>
          </w:p>
          <w:p w:rsidR="00EF16F8" w:rsidRPr="00F47505" w:rsidRDefault="00EF16F8" w:rsidP="0004408C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Código</w:t>
            </w:r>
          </w:p>
        </w:tc>
      </w:tr>
      <w:tr w:rsidR="00EF16F8" w:rsidRPr="00D32CA6" w:rsidTr="0004408C">
        <w:trPr>
          <w:trHeight w:val="850"/>
        </w:trPr>
        <w:tc>
          <w:tcPr>
            <w:tcW w:w="4180" w:type="pct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16F8" w:rsidRDefault="00EF16F8" w:rsidP="0004408C">
            <w:pPr>
              <w:rPr>
                <w:rFonts w:ascii="Arial Narrow" w:hAnsi="Arial Narrow"/>
                <w:color w:val="000080"/>
              </w:rPr>
            </w:pPr>
          </w:p>
          <w:p w:rsidR="00EF16F8" w:rsidRPr="00732954" w:rsidRDefault="00EF16F8" w:rsidP="0004408C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LEY DE TRANSPARENCIA,  ACCESO A LA INFORMACIÓN PÚBLICA Y BUEN GOBIERNO</w:t>
            </w:r>
          </w:p>
        </w:tc>
        <w:tc>
          <w:tcPr>
            <w:tcW w:w="820" w:type="pct"/>
            <w:tcBorders>
              <w:left w:val="single" w:sz="4" w:space="0" w:color="C0C0C0"/>
              <w:bottom w:val="double" w:sz="4" w:space="0" w:color="auto"/>
            </w:tcBorders>
            <w:shd w:val="clear" w:color="auto" w:fill="auto"/>
          </w:tcPr>
          <w:p w:rsidR="00EF16F8" w:rsidRDefault="00EF16F8" w:rsidP="0004408C">
            <w:pPr>
              <w:jc w:val="center"/>
              <w:rPr>
                <w:rFonts w:ascii="Arial Narrow" w:hAnsi="Arial Narrow" w:cs="Arial Narrow"/>
                <w:color w:val="000081"/>
              </w:rPr>
            </w:pPr>
          </w:p>
          <w:p w:rsidR="00EF16F8" w:rsidRPr="003906B6" w:rsidRDefault="00EF16F8" w:rsidP="0004408C">
            <w:pPr>
              <w:jc w:val="center"/>
              <w:rPr>
                <w:rFonts w:ascii="Arial" w:hAnsi="Arial" w:cs="Arial"/>
                <w:iCs/>
                <w:lang w:val="en-US" w:eastAsia="en-US"/>
              </w:rPr>
            </w:pPr>
            <w:r>
              <w:rPr>
                <w:rFonts w:ascii="Arial" w:hAnsi="Arial" w:cs="Arial"/>
                <w:iCs/>
                <w:lang w:val="en-US" w:eastAsia="en-US"/>
              </w:rPr>
              <w:t xml:space="preserve">(no </w:t>
            </w:r>
            <w:proofErr w:type="spellStart"/>
            <w:r>
              <w:rPr>
                <w:rFonts w:ascii="Arial" w:hAnsi="Arial" w:cs="Arial"/>
                <w:iCs/>
                <w:lang w:val="en-US" w:eastAsia="en-US"/>
              </w:rPr>
              <w:t>rellenar</w:t>
            </w:r>
            <w:proofErr w:type="spellEnd"/>
            <w:r>
              <w:rPr>
                <w:rFonts w:ascii="Arial" w:hAnsi="Arial" w:cs="Arial"/>
                <w:iCs/>
                <w:lang w:val="en-US" w:eastAsia="en-US"/>
              </w:rPr>
              <w:t>)</w:t>
            </w:r>
          </w:p>
        </w:tc>
      </w:tr>
    </w:tbl>
    <w:p w:rsidR="00EF16F8" w:rsidRDefault="00EF16F8" w:rsidP="00EF16F8"/>
    <w:p w:rsidR="00EF16F8" w:rsidRDefault="00EF16F8" w:rsidP="00EF16F8"/>
    <w:p w:rsidR="00EF16F8" w:rsidRDefault="00EF16F8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465"/>
      </w:tblGrid>
      <w:tr w:rsidR="00EF16F8" w:rsidRPr="00D32CA6" w:rsidTr="0004408C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04408C">
            <w:pPr>
              <w:spacing w:before="240" w:line="240" w:lineRule="exact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Módulo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F47505" w:rsidRDefault="00EF16F8" w:rsidP="0004408C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EF16F8" w:rsidRPr="00D32CA6" w:rsidTr="0004408C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04408C">
            <w:pPr>
              <w:spacing w:before="240" w:after="100" w:line="240" w:lineRule="exact"/>
              <w:jc w:val="both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Materia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F47505" w:rsidRDefault="00EF16F8" w:rsidP="0004408C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EF16F8" w:rsidRPr="00D32CA6" w:rsidTr="0004408C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04408C">
            <w:pPr>
              <w:spacing w:before="240" w:after="120" w:line="240" w:lineRule="exact"/>
              <w:rPr>
                <w:rFonts w:ascii="Arial" w:hAnsi="Arial"/>
                <w:b/>
                <w:color w:val="000080"/>
                <w:sz w:val="22"/>
              </w:rPr>
            </w:pPr>
            <w:r w:rsidRPr="00F47505">
              <w:rPr>
                <w:rFonts w:ascii="Arial" w:hAnsi="Arial"/>
                <w:b/>
                <w:color w:val="000080"/>
                <w:sz w:val="22"/>
              </w:rPr>
              <w:t>Créditos para alumnos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732954" w:rsidRDefault="00EF16F8" w:rsidP="0004408C">
            <w:pPr>
              <w:spacing w:before="240"/>
              <w:rPr>
                <w:rFonts w:ascii="Arial" w:hAnsi="Arial"/>
                <w:b/>
              </w:rPr>
            </w:pPr>
            <w:r w:rsidRPr="00732954">
              <w:rPr>
                <w:rFonts w:ascii="Arial" w:hAnsi="Arial"/>
                <w:b/>
              </w:rPr>
              <w:t>4 CRÉDITOS ECTS</w:t>
            </w:r>
          </w:p>
        </w:tc>
      </w:tr>
      <w:tr w:rsidR="00EF16F8" w:rsidRPr="00D32CA6" w:rsidTr="0004408C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04408C">
            <w:pPr>
              <w:spacing w:before="240" w:after="100" w:line="240" w:lineRule="exact"/>
              <w:jc w:val="both"/>
              <w:rPr>
                <w:rFonts w:ascii="Arial" w:hAnsi="Arial"/>
                <w:color w:val="000080"/>
                <w:vertAlign w:val="superscript"/>
              </w:rPr>
            </w:pPr>
            <w:r w:rsidRPr="00F47505">
              <w:rPr>
                <w:rFonts w:ascii="Arial" w:hAnsi="Arial" w:cs="Arial"/>
                <w:b/>
                <w:color w:val="000080"/>
              </w:rPr>
              <w:t xml:space="preserve">Carácter 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732954" w:rsidRDefault="00EF16F8" w:rsidP="0004408C">
            <w:pPr>
              <w:spacing w:before="240" w:line="240" w:lineRule="exact"/>
              <w:rPr>
                <w:rFonts w:ascii="Arial" w:hAnsi="Arial"/>
                <w:b/>
              </w:rPr>
            </w:pPr>
            <w:r w:rsidRPr="00732954">
              <w:rPr>
                <w:rFonts w:ascii="Arial" w:hAnsi="Arial"/>
                <w:b/>
              </w:rPr>
              <w:t>OPTATIVA</w:t>
            </w:r>
          </w:p>
        </w:tc>
      </w:tr>
      <w:tr w:rsidR="00EF16F8" w:rsidRPr="00D32CA6" w:rsidTr="0004408C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04408C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Prerrequisitos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F47505" w:rsidRDefault="00EF16F8" w:rsidP="0004408C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EF16F8" w:rsidRPr="00D32CA6" w:rsidTr="0004408C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04408C">
            <w:pPr>
              <w:spacing w:before="120"/>
              <w:rPr>
                <w:rFonts w:ascii="Arial" w:hAnsi="Arial"/>
                <w:b/>
                <w:color w:val="000080"/>
                <w:highlight w:val="yellow"/>
              </w:rPr>
            </w:pPr>
            <w:r w:rsidRPr="00F47505">
              <w:rPr>
                <w:rFonts w:ascii="Arial" w:hAnsi="Arial"/>
                <w:b/>
                <w:color w:val="000080"/>
              </w:rPr>
              <w:t>Idioma/s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F47505" w:rsidRDefault="00EF16F8" w:rsidP="0004408C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EF16F8" w:rsidRPr="00D32CA6" w:rsidTr="0004408C">
        <w:trPr>
          <w:trHeight w:val="7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04408C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Recomendaciones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F47505" w:rsidRDefault="00EF16F8" w:rsidP="0004408C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EF16F8" w:rsidRPr="00D32CA6" w:rsidTr="0004408C">
        <w:trPr>
          <w:trHeight w:val="103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04408C">
            <w:pPr>
              <w:spacing w:before="120"/>
              <w:rPr>
                <w:rFonts w:ascii="Arial" w:hAnsi="Arial"/>
                <w:b/>
                <w:color w:val="000080"/>
                <w:szCs w:val="16"/>
              </w:rPr>
            </w:pPr>
            <w:r w:rsidRPr="00F47505">
              <w:rPr>
                <w:rFonts w:ascii="Arial" w:hAnsi="Arial"/>
                <w:b/>
                <w:color w:val="000080"/>
              </w:rPr>
              <w:t>Descriptores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Default="00EF16F8" w:rsidP="0004408C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 1º, </w:t>
            </w:r>
          </w:p>
          <w:p w:rsidR="00EF16F8" w:rsidRDefault="0058163D" w:rsidP="0004408C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Primer</w:t>
            </w:r>
            <w:r w:rsidR="00EF16F8">
              <w:rPr>
                <w:rFonts w:ascii="Arial" w:hAnsi="Arial"/>
                <w:b/>
              </w:rPr>
              <w:t xml:space="preserve"> Semestre</w:t>
            </w:r>
          </w:p>
          <w:p w:rsidR="00EF16F8" w:rsidRPr="00732954" w:rsidRDefault="00EF16F8" w:rsidP="0004408C">
            <w:pPr>
              <w:spacing w:before="120"/>
              <w:rPr>
                <w:rFonts w:ascii="Arial" w:hAnsi="Arial"/>
                <w:b/>
              </w:rPr>
            </w:pPr>
            <w:r w:rsidRPr="00732954">
              <w:rPr>
                <w:rFonts w:ascii="Arial" w:hAnsi="Arial"/>
                <w:b/>
              </w:rPr>
              <w:t>Materia de Especialización jurídica y de la Administración (Bloque 1)</w:t>
            </w:r>
          </w:p>
        </w:tc>
      </w:tr>
    </w:tbl>
    <w:p w:rsidR="00EF16F8" w:rsidRPr="007B452D" w:rsidRDefault="00EF16F8" w:rsidP="00EF16F8">
      <w:pPr>
        <w:rPr>
          <w:rFonts w:ascii="Arial Narrow" w:hAnsi="Arial Narrow"/>
        </w:rPr>
      </w:pPr>
    </w:p>
    <w:p w:rsidR="00EF16F8" w:rsidRDefault="00EF16F8" w:rsidP="00EF16F8"/>
    <w:p w:rsidR="00EF16F8" w:rsidRDefault="00EF16F8" w:rsidP="00EF16F8"/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PROFESORES RESPONSABLES</w:t>
      </w:r>
    </w:p>
    <w:p w:rsidR="00EF16F8" w:rsidRDefault="00EF16F8" w:rsidP="00EF16F8"/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608"/>
        <w:gridCol w:w="3997"/>
      </w:tblGrid>
      <w:tr w:rsidR="00EF16F8" w:rsidRPr="00D32CA6" w:rsidTr="004D2849">
        <w:tc>
          <w:tcPr>
            <w:tcW w:w="835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CECFF"/>
          </w:tcPr>
          <w:p w:rsidR="00EF16F8" w:rsidRPr="00876512" w:rsidRDefault="00EF16F8" w:rsidP="0004408C">
            <w:pPr>
              <w:spacing w:before="240" w:after="100" w:line="240" w:lineRule="exact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976" w:type="pct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CC66"/>
          </w:tcPr>
          <w:p w:rsidR="00EF16F8" w:rsidRPr="00876512" w:rsidRDefault="00EF16F8" w:rsidP="0004408C">
            <w:pPr>
              <w:spacing w:before="240" w:after="100" w:line="240" w:lineRule="exact"/>
              <w:ind w:left="-108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2189" w:type="pct"/>
            <w:tcBorders>
              <w:left w:val="single" w:sz="4" w:space="0" w:color="C0C0C0"/>
              <w:bottom w:val="single" w:sz="4" w:space="0" w:color="auto"/>
            </w:tcBorders>
            <w:shd w:val="clear" w:color="auto" w:fill="CCECFF"/>
          </w:tcPr>
          <w:p w:rsidR="00EF16F8" w:rsidRPr="00876512" w:rsidRDefault="00EF16F8" w:rsidP="0004408C">
            <w:pPr>
              <w:spacing w:before="240" w:line="240" w:lineRule="exact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e-mail</w:t>
            </w:r>
          </w:p>
        </w:tc>
      </w:tr>
      <w:tr w:rsidR="00EF16F8" w:rsidRPr="00D32CA6" w:rsidTr="004D2849">
        <w:tc>
          <w:tcPr>
            <w:tcW w:w="835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CECFF"/>
            <w:vAlign w:val="center"/>
          </w:tcPr>
          <w:p w:rsidR="00EF16F8" w:rsidRPr="00876512" w:rsidRDefault="004D2849" w:rsidP="0004408C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C</w:t>
            </w:r>
            <w:r w:rsidR="00EF16F8"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oordinador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F16F8" w:rsidRPr="00876512" w:rsidRDefault="0058163D" w:rsidP="0004408C">
            <w:pPr>
              <w:spacing w:before="120"/>
              <w:ind w:right="-108"/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r>
              <w:rPr>
                <w:b/>
              </w:rPr>
              <w:t>Manuel Sánchez de Diego Fernández de la Riva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Default="006D49D8" w:rsidP="0004408C">
            <w:pPr>
              <w:jc w:val="center"/>
            </w:pPr>
            <w:hyperlink r:id="rId7" w:history="1">
              <w:r w:rsidR="0058163D" w:rsidRPr="00601DAA">
                <w:rPr>
                  <w:rStyle w:val="Hipervnculo"/>
                </w:rPr>
                <w:t>msdiego@ucm.es</w:t>
              </w:r>
            </w:hyperlink>
          </w:p>
          <w:p w:rsidR="0058163D" w:rsidRPr="00876512" w:rsidRDefault="0058163D" w:rsidP="0004408C">
            <w:pPr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r>
              <w:t>Telf. 91 394 21 88</w:t>
            </w:r>
          </w:p>
        </w:tc>
      </w:tr>
    </w:tbl>
    <w:p w:rsidR="00EF16F8" w:rsidRDefault="00EF16F8" w:rsidP="00EF16F8"/>
    <w:p w:rsidR="00EF16F8" w:rsidRDefault="00EF16F8" w:rsidP="00EF16F8"/>
    <w:p w:rsidR="00EF16F8" w:rsidRDefault="00EF16F8" w:rsidP="00EF16F8"/>
    <w:p w:rsidR="00EF16F8" w:rsidRDefault="00EF16F8" w:rsidP="00EF16F8"/>
    <w:p w:rsidR="00EF16F8" w:rsidRDefault="00EF16F8" w:rsidP="00EF16F8"/>
    <w:p w:rsidR="00EF16F8" w:rsidRDefault="00EF16F8" w:rsidP="00EF16F8"/>
    <w:p w:rsidR="00EF16F8" w:rsidRDefault="00EF16F8" w:rsidP="00EF16F8"/>
    <w:p w:rsidR="00EF16F8" w:rsidRPr="002E5396" w:rsidRDefault="00EF16F8" w:rsidP="00EF16F8"/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OBJETIVOS DE LA ASIGNATURA</w:t>
      </w:r>
    </w:p>
    <w:p w:rsidR="00EF16F8" w:rsidRDefault="00EF16F8" w:rsidP="00EF16F8"/>
    <w:p w:rsidR="00EF16F8" w:rsidRDefault="00EF16F8" w:rsidP="007B0E31">
      <w:pPr>
        <w:numPr>
          <w:ilvl w:val="0"/>
          <w:numId w:val="15"/>
        </w:numPr>
        <w:spacing w:after="120"/>
        <w:ind w:left="714" w:hanging="357"/>
        <w:jc w:val="both"/>
      </w:pPr>
      <w:r>
        <w:t>Conocer el contenido esencial del derecho de acceso a la información pública y su regulación jurídica como tal.</w:t>
      </w:r>
    </w:p>
    <w:p w:rsidR="00EF16F8" w:rsidRDefault="00EF16F8" w:rsidP="007B0E31">
      <w:pPr>
        <w:numPr>
          <w:ilvl w:val="0"/>
          <w:numId w:val="15"/>
        </w:numPr>
        <w:spacing w:after="120"/>
        <w:ind w:left="714" w:hanging="357"/>
        <w:jc w:val="both"/>
      </w:pPr>
      <w:r>
        <w:t>Manejar e identificar las principales categorías jurídicas de la ley de transparencia.</w:t>
      </w:r>
    </w:p>
    <w:p w:rsidR="00EF16F8" w:rsidRDefault="00EF16F8" w:rsidP="007B0E31">
      <w:pPr>
        <w:numPr>
          <w:ilvl w:val="0"/>
          <w:numId w:val="15"/>
        </w:numPr>
        <w:spacing w:after="120"/>
        <w:ind w:left="714" w:hanging="357"/>
        <w:jc w:val="both"/>
      </w:pPr>
      <w:r>
        <w:t xml:space="preserve">Aplicar la ley de transparencia a supuestos reales </w:t>
      </w:r>
      <w:r w:rsidR="0058163D">
        <w:t>para obtener información que permita su tratamiento estadístico</w:t>
      </w:r>
      <w:r>
        <w:t>.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</w:p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COMPETENCIAS DE LA ASIGNATURA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 w:rsidRPr="006610FB">
        <w:rPr>
          <w:i/>
        </w:rPr>
        <w:t>COMPETENCIAS GENERALES</w:t>
      </w:r>
      <w:r>
        <w:t>.-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 xml:space="preserve">CG1.- </w:t>
      </w:r>
      <w:r w:rsidR="0058163D">
        <w:t xml:space="preserve">Conocimiento general del Derecho y </w:t>
      </w:r>
      <w:r>
        <w:t xml:space="preserve">de conceptos como: </w:t>
      </w:r>
      <w:r w:rsidR="0058163D">
        <w:t xml:space="preserve">acceso a la información, información pública, </w:t>
      </w:r>
      <w:r>
        <w:t>transparencia, regeneración democrática, información pública, buen gobierno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>CG2.-  Identificar las principales normas del sistema de fuentes español, diferenciando unas de otras en c</w:t>
      </w:r>
      <w:r w:rsidR="000F5E48">
        <w:t>uanto a su potencial aplicación en relación con la transparencia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>CG3.- Estudiar la Ley</w:t>
      </w:r>
      <w:r w:rsidR="0058163D">
        <w:t xml:space="preserve"> 19/2013</w:t>
      </w:r>
      <w:r>
        <w:t xml:space="preserve"> de transparencia, acceso a la información pública y buen gobierno de 2013</w:t>
      </w:r>
      <w:r w:rsidR="007B0E31">
        <w:t>, los sujetos obligados, la publicidad activa y el ejercicio del derecho de acceso.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 w:rsidRPr="006610FB">
        <w:rPr>
          <w:i/>
        </w:rPr>
        <w:t>COMPETENCIAS ESPECÍFICAS</w:t>
      </w:r>
      <w:r>
        <w:t>.-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 xml:space="preserve">CE1.- Identificar </w:t>
      </w:r>
      <w:r w:rsidR="007B0E31">
        <w:t>los sujetos obligados a la transparencia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>CE2.- Entender y enumerar los límites del derecho de acceso a la información pública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>CE3.- Conocer la naturaleza y principales funciones del Consejo de Transparencia y Buen gobierno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 xml:space="preserve">CE4.- Aplicar la Ley de Transparencia a casos prácticos de </w:t>
      </w:r>
      <w:r w:rsidR="007B0E31">
        <w:t xml:space="preserve">publicidad activa y del </w:t>
      </w:r>
      <w:r w:rsidR="004D2849">
        <w:t>ejercicio del derecho de acceso, tanto en su vertiente de búsqueda de información como en la puesta a disposición de información.</w:t>
      </w:r>
    </w:p>
    <w:p w:rsidR="004D2849" w:rsidRDefault="004D2849">
      <w:pPr>
        <w:spacing w:after="200" w:line="276" w:lineRule="auto"/>
      </w:pPr>
      <w:r>
        <w:br w:type="page"/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</w:p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CONTENIDOS TEMÁTICOS</w:t>
      </w:r>
    </w:p>
    <w:p w:rsidR="00EF16F8" w:rsidRPr="002B11EB" w:rsidRDefault="00EF16F8" w:rsidP="00EF16F8">
      <w:pPr>
        <w:jc w:val="both"/>
        <w:rPr>
          <w:b/>
        </w:rPr>
      </w:pP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b/>
          <w:lang w:eastAsia="en-US"/>
        </w:rPr>
      </w:pPr>
      <w:r w:rsidRPr="00900351">
        <w:rPr>
          <w:rFonts w:ascii="Calibri" w:eastAsia="Calibri" w:hAnsi="Calibri" w:cs="Calibri"/>
          <w:b/>
          <w:lang w:eastAsia="en-US"/>
        </w:rPr>
        <w:t xml:space="preserve">Tema 1.- LA TRANSPARENCIA, NUEVO ELEMENTO EN EL DERECHO Y EL ESTADO </w:t>
      </w:r>
    </w:p>
    <w:p w:rsidR="00900351" w:rsidRPr="00900351" w:rsidRDefault="00900351" w:rsidP="00900351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Derecho, norma social y ética. ¿qué se puede hacer y qué no hacer?</w:t>
      </w:r>
    </w:p>
    <w:p w:rsidR="00900351" w:rsidRPr="00900351" w:rsidRDefault="00900351" w:rsidP="00900351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Nuevas tecnologías y evolución social. Amenazas y oportunidades.</w:t>
      </w:r>
    </w:p>
    <w:p w:rsidR="00900351" w:rsidRPr="00900351" w:rsidRDefault="00900351" w:rsidP="00900351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 xml:space="preserve"> La democracia avanzada como resultado de una evolución.</w:t>
      </w:r>
    </w:p>
    <w:p w:rsidR="00900351" w:rsidRPr="00900351" w:rsidRDefault="00900351" w:rsidP="00900351">
      <w:pPr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Titularidad de la Información ¿De quién es la información?</w:t>
      </w:r>
    </w:p>
    <w:p w:rsidR="00900351" w:rsidRPr="00900351" w:rsidRDefault="00900351" w:rsidP="00900351">
      <w:pPr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Big Data y control social</w:t>
      </w:r>
    </w:p>
    <w:p w:rsidR="00900351" w:rsidRPr="00900351" w:rsidRDefault="00900351" w:rsidP="00900351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 xml:space="preserve">Derechos fundamentales. Tecnología y Nuevos derechos </w:t>
      </w:r>
    </w:p>
    <w:p w:rsidR="00900351" w:rsidRPr="00900351" w:rsidRDefault="00900351" w:rsidP="00900351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¿Derecho de acceso a la información pública?</w:t>
      </w:r>
    </w:p>
    <w:p w:rsidR="00900351" w:rsidRPr="00900351" w:rsidRDefault="00900351" w:rsidP="00900351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Protección de datos personales</w:t>
      </w:r>
    </w:p>
    <w:p w:rsidR="00900351" w:rsidRPr="00900351" w:rsidRDefault="00900351" w:rsidP="00900351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Otros nuevos derechos</w:t>
      </w: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lang w:eastAsia="en-US"/>
        </w:rPr>
      </w:pP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b/>
          <w:lang w:eastAsia="en-US"/>
        </w:rPr>
        <w:t>Tema 2.- TRANSPARENCIA O ACCESO A LA INFORMACIÓN</w:t>
      </w:r>
    </w:p>
    <w:p w:rsidR="00900351" w:rsidRPr="00900351" w:rsidRDefault="00900351" w:rsidP="00900351">
      <w:pPr>
        <w:numPr>
          <w:ilvl w:val="0"/>
          <w:numId w:val="17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Los conceptos. ¿De qué estamos hablando?</w:t>
      </w:r>
    </w:p>
    <w:p w:rsidR="00900351" w:rsidRPr="00900351" w:rsidRDefault="00900351" w:rsidP="00900351">
      <w:pPr>
        <w:numPr>
          <w:ilvl w:val="0"/>
          <w:numId w:val="17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Las razones. ¿Una varita mágica?</w:t>
      </w:r>
    </w:p>
    <w:p w:rsidR="00900351" w:rsidRPr="00900351" w:rsidRDefault="00900351" w:rsidP="00900351">
      <w:pPr>
        <w:numPr>
          <w:ilvl w:val="0"/>
          <w:numId w:val="17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Transparencia de lo público y de lo privado</w:t>
      </w:r>
    </w:p>
    <w:p w:rsidR="00900351" w:rsidRPr="00900351" w:rsidRDefault="00900351" w:rsidP="00900351">
      <w:pPr>
        <w:numPr>
          <w:ilvl w:val="0"/>
          <w:numId w:val="17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Transparencia y Acceso a la información pública: la raíz constitucional</w:t>
      </w:r>
    </w:p>
    <w:p w:rsidR="00900351" w:rsidRPr="00900351" w:rsidRDefault="00900351" w:rsidP="00900351">
      <w:pPr>
        <w:numPr>
          <w:ilvl w:val="0"/>
          <w:numId w:val="17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¿Dónde buscar información sobre Normas de Transparencia?</w:t>
      </w:r>
    </w:p>
    <w:p w:rsidR="00900351" w:rsidRPr="00900351" w:rsidRDefault="00900351" w:rsidP="00900351">
      <w:pPr>
        <w:numPr>
          <w:ilvl w:val="0"/>
          <w:numId w:val="17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Un poco de historia. La lucha por la transparencia.</w:t>
      </w: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lang w:eastAsia="en-US"/>
        </w:rPr>
      </w:pP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b/>
          <w:lang w:eastAsia="en-US"/>
        </w:rPr>
        <w:t>Tema 3.- NORMATIVA SOBRE TRANSPARENCIA</w:t>
      </w:r>
    </w:p>
    <w:p w:rsidR="00900351" w:rsidRPr="00900351" w:rsidRDefault="00900351" w:rsidP="00900351">
      <w:pPr>
        <w:numPr>
          <w:ilvl w:val="0"/>
          <w:numId w:val="20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La abundancia normativa</w:t>
      </w:r>
    </w:p>
    <w:p w:rsidR="00900351" w:rsidRPr="00900351" w:rsidRDefault="00900351" w:rsidP="00900351">
      <w:pPr>
        <w:numPr>
          <w:ilvl w:val="0"/>
          <w:numId w:val="20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 xml:space="preserve">El imperativo europeo e internacional: Consejo de Europa, Unión Europea Open </w:t>
      </w:r>
      <w:proofErr w:type="spellStart"/>
      <w:r w:rsidRPr="00900351">
        <w:rPr>
          <w:rFonts w:ascii="Calibri" w:hAnsi="Calibri" w:cs="Calibri"/>
        </w:rPr>
        <w:t>Government</w:t>
      </w:r>
      <w:proofErr w:type="spellEnd"/>
      <w:r w:rsidRPr="00900351">
        <w:rPr>
          <w:rFonts w:ascii="Calibri" w:hAnsi="Calibri" w:cs="Calibri"/>
        </w:rPr>
        <w:t xml:space="preserve"> </w:t>
      </w:r>
      <w:proofErr w:type="spellStart"/>
      <w:r w:rsidRPr="00900351">
        <w:rPr>
          <w:rFonts w:ascii="Calibri" w:hAnsi="Calibri" w:cs="Calibri"/>
        </w:rPr>
        <w:t>Partnership</w:t>
      </w:r>
      <w:proofErr w:type="spellEnd"/>
      <w:r w:rsidRPr="00900351">
        <w:rPr>
          <w:rFonts w:ascii="Calibri" w:hAnsi="Calibri" w:cs="Calibri"/>
        </w:rPr>
        <w:t>.</w:t>
      </w:r>
    </w:p>
    <w:p w:rsidR="00900351" w:rsidRPr="00900351" w:rsidRDefault="00900351" w:rsidP="00900351">
      <w:pPr>
        <w:numPr>
          <w:ilvl w:val="0"/>
          <w:numId w:val="20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La transparencia a nivel estatal, autonómico y local</w:t>
      </w:r>
    </w:p>
    <w:p w:rsidR="00900351" w:rsidRPr="00900351" w:rsidRDefault="00900351" w:rsidP="00900351">
      <w:pPr>
        <w:numPr>
          <w:ilvl w:val="0"/>
          <w:numId w:val="20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 xml:space="preserve">La Ley 19/13 Objetivo, Estructura y Bugs </w:t>
      </w: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b/>
          <w:lang w:eastAsia="en-US"/>
        </w:rPr>
      </w:pP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b/>
          <w:lang w:eastAsia="en-US"/>
        </w:rPr>
      </w:pPr>
      <w:r w:rsidRPr="00900351">
        <w:rPr>
          <w:rFonts w:ascii="Calibri" w:eastAsia="Calibri" w:hAnsi="Calibri" w:cs="Calibri"/>
          <w:b/>
          <w:lang w:eastAsia="en-US"/>
        </w:rPr>
        <w:t>Tema 4.- LEY 19/2013 SUJETOS OBLIGADOS</w:t>
      </w:r>
    </w:p>
    <w:p w:rsidR="00900351" w:rsidRPr="00900351" w:rsidRDefault="00900351" w:rsidP="00900351">
      <w:pPr>
        <w:numPr>
          <w:ilvl w:val="0"/>
          <w:numId w:val="21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Sujetos obligados</w:t>
      </w:r>
    </w:p>
    <w:p w:rsidR="00900351" w:rsidRPr="00900351" w:rsidRDefault="00900351" w:rsidP="00900351">
      <w:pPr>
        <w:numPr>
          <w:ilvl w:val="0"/>
          <w:numId w:val="21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Otros sujetos</w:t>
      </w:r>
    </w:p>
    <w:p w:rsidR="00900351" w:rsidRPr="00900351" w:rsidRDefault="00900351" w:rsidP="00900351">
      <w:pPr>
        <w:numPr>
          <w:ilvl w:val="0"/>
          <w:numId w:val="21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Obligación de suministrar información</w:t>
      </w:r>
    </w:p>
    <w:p w:rsidR="00900351" w:rsidRPr="00900351" w:rsidRDefault="00900351" w:rsidP="00900351">
      <w:pPr>
        <w:numPr>
          <w:ilvl w:val="0"/>
          <w:numId w:val="21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 xml:space="preserve">Las claves de la </w:t>
      </w:r>
      <w:proofErr w:type="spellStart"/>
      <w:r w:rsidRPr="00900351">
        <w:rPr>
          <w:rFonts w:ascii="Calibri" w:hAnsi="Calibri" w:cs="Calibri"/>
        </w:rPr>
        <w:t>obligacion</w:t>
      </w:r>
      <w:proofErr w:type="spellEnd"/>
      <w:r w:rsidRPr="00900351">
        <w:rPr>
          <w:rFonts w:ascii="Calibri" w:hAnsi="Calibri" w:cs="Calibri"/>
        </w:rPr>
        <w:t xml:space="preserve"> de la transparencia pública y privada</w:t>
      </w: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lang w:eastAsia="en-US"/>
        </w:rPr>
      </w:pP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b/>
          <w:lang w:eastAsia="en-US"/>
        </w:rPr>
        <w:t>Tema 5.- LEY 19/2013 PUBLICIDAD ACTIVA</w:t>
      </w:r>
    </w:p>
    <w:p w:rsidR="00900351" w:rsidRPr="00900351" w:rsidRDefault="00900351" w:rsidP="00900351">
      <w:pPr>
        <w:numPr>
          <w:ilvl w:val="0"/>
          <w:numId w:val="3"/>
        </w:numPr>
        <w:spacing w:line="259" w:lineRule="auto"/>
        <w:ind w:left="1068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Principios generales de la “publicidad activa”</w:t>
      </w:r>
    </w:p>
    <w:p w:rsidR="00900351" w:rsidRPr="00900351" w:rsidRDefault="00900351" w:rsidP="00900351">
      <w:pPr>
        <w:numPr>
          <w:ilvl w:val="0"/>
          <w:numId w:val="3"/>
        </w:numPr>
        <w:spacing w:line="259" w:lineRule="auto"/>
        <w:ind w:left="1068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Información obligatoria para publicitar:</w:t>
      </w:r>
    </w:p>
    <w:p w:rsidR="00900351" w:rsidRPr="00900351" w:rsidRDefault="00900351" w:rsidP="00900351">
      <w:pPr>
        <w:numPr>
          <w:ilvl w:val="0"/>
          <w:numId w:val="3"/>
        </w:numPr>
        <w:spacing w:line="259" w:lineRule="auto"/>
        <w:ind w:left="1134"/>
        <w:rPr>
          <w:rFonts w:ascii="Calibri" w:hAnsi="Calibri" w:cs="Calibri"/>
        </w:rPr>
      </w:pPr>
      <w:r w:rsidRPr="00900351">
        <w:rPr>
          <w:rFonts w:ascii="Calibri" w:hAnsi="Calibri" w:cs="Calibri"/>
        </w:rPr>
        <w:t>Control</w:t>
      </w:r>
    </w:p>
    <w:p w:rsidR="00900351" w:rsidRPr="00900351" w:rsidRDefault="00900351" w:rsidP="00900351">
      <w:pPr>
        <w:numPr>
          <w:ilvl w:val="0"/>
          <w:numId w:val="3"/>
        </w:numPr>
        <w:spacing w:line="259" w:lineRule="auto"/>
        <w:ind w:left="1134"/>
        <w:rPr>
          <w:rFonts w:ascii="Calibri" w:hAnsi="Calibri" w:cs="Calibri"/>
        </w:rPr>
      </w:pPr>
      <w:r w:rsidRPr="00900351">
        <w:rPr>
          <w:rFonts w:ascii="Calibri" w:hAnsi="Calibri" w:cs="Calibri"/>
        </w:rPr>
        <w:t>Portal de Transparencia</w:t>
      </w:r>
    </w:p>
    <w:p w:rsidR="00900351" w:rsidRPr="00900351" w:rsidRDefault="00900351" w:rsidP="00900351">
      <w:pPr>
        <w:numPr>
          <w:ilvl w:val="0"/>
          <w:numId w:val="3"/>
        </w:numPr>
        <w:spacing w:line="259" w:lineRule="auto"/>
        <w:ind w:left="1134"/>
        <w:rPr>
          <w:rFonts w:ascii="Calibri" w:hAnsi="Calibri" w:cs="Calibri"/>
        </w:rPr>
      </w:pPr>
      <w:r w:rsidRPr="00900351">
        <w:rPr>
          <w:rFonts w:ascii="Calibri" w:hAnsi="Calibri" w:cs="Calibri"/>
        </w:rPr>
        <w:t>Principios técnicos</w:t>
      </w: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00351" w:rsidRPr="00900351" w:rsidRDefault="00900351" w:rsidP="00900351">
      <w:pPr>
        <w:keepNext/>
        <w:keepLines/>
        <w:spacing w:line="259" w:lineRule="auto"/>
        <w:rPr>
          <w:rFonts w:ascii="Calibri" w:eastAsia="Calibri" w:hAnsi="Calibri" w:cs="Calibri"/>
          <w:b/>
          <w:lang w:eastAsia="en-US"/>
        </w:rPr>
      </w:pPr>
      <w:r w:rsidRPr="00900351">
        <w:rPr>
          <w:rFonts w:ascii="Calibri" w:eastAsia="Calibri" w:hAnsi="Calibri" w:cs="Calibri"/>
          <w:b/>
          <w:lang w:eastAsia="en-US"/>
        </w:rPr>
        <w:lastRenderedPageBreak/>
        <w:t>Tema 6.- LEY 19/2013 DERECHO DE ACCESO A LA INFORMACIÓN PÚBLICA</w:t>
      </w:r>
    </w:p>
    <w:p w:rsidR="00900351" w:rsidRPr="00900351" w:rsidRDefault="00900351" w:rsidP="00900351">
      <w:pPr>
        <w:keepNext/>
        <w:keepLines/>
        <w:numPr>
          <w:ilvl w:val="0"/>
          <w:numId w:val="25"/>
        </w:numPr>
        <w:spacing w:line="259" w:lineRule="auto"/>
        <w:rPr>
          <w:rFonts w:ascii="Calibri" w:eastAsia="Calibri" w:hAnsi="Calibri" w:cs="Calibri"/>
          <w:u w:val="single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Naturaleza y regulación, arts. 12 y 13 de la Ley de transparencia.</w:t>
      </w:r>
    </w:p>
    <w:p w:rsidR="00900351" w:rsidRPr="00900351" w:rsidRDefault="00900351" w:rsidP="00900351">
      <w:pPr>
        <w:numPr>
          <w:ilvl w:val="0"/>
          <w:numId w:val="25"/>
        </w:numPr>
        <w:spacing w:line="259" w:lineRule="auto"/>
        <w:rPr>
          <w:rFonts w:ascii="Calibri" w:eastAsia="Calibri" w:hAnsi="Calibri" w:cs="Calibri"/>
          <w:u w:val="single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Sujetos</w:t>
      </w:r>
    </w:p>
    <w:p w:rsidR="00900351" w:rsidRPr="00900351" w:rsidRDefault="00900351" w:rsidP="00900351">
      <w:pPr>
        <w:numPr>
          <w:ilvl w:val="0"/>
          <w:numId w:val="25"/>
        </w:numPr>
        <w:spacing w:line="259" w:lineRule="auto"/>
        <w:rPr>
          <w:rFonts w:ascii="Calibri" w:eastAsia="Calibri" w:hAnsi="Calibri" w:cs="Calibri"/>
          <w:u w:val="single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Objeto</w:t>
      </w:r>
    </w:p>
    <w:p w:rsidR="00900351" w:rsidRPr="00900351" w:rsidRDefault="00900351" w:rsidP="00900351">
      <w:pPr>
        <w:numPr>
          <w:ilvl w:val="0"/>
          <w:numId w:val="25"/>
        </w:numPr>
        <w:spacing w:line="259" w:lineRule="auto"/>
        <w:rPr>
          <w:rFonts w:ascii="Calibri" w:eastAsia="Calibri" w:hAnsi="Calibri" w:cs="Calibri"/>
          <w:u w:val="single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Modo</w:t>
      </w: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u w:val="single"/>
          <w:lang w:eastAsia="en-US"/>
        </w:rPr>
      </w:pPr>
    </w:p>
    <w:p w:rsidR="00900351" w:rsidRPr="00900351" w:rsidRDefault="00900351" w:rsidP="00900351">
      <w:pPr>
        <w:spacing w:line="259" w:lineRule="auto"/>
        <w:rPr>
          <w:rFonts w:ascii="Calibri" w:eastAsia="Calibri" w:hAnsi="Calibri" w:cs="Calibri"/>
          <w:b/>
          <w:lang w:eastAsia="en-US"/>
        </w:rPr>
      </w:pPr>
      <w:r w:rsidRPr="00900351">
        <w:rPr>
          <w:rFonts w:ascii="Calibri" w:eastAsia="Calibri" w:hAnsi="Calibri" w:cs="Calibri"/>
          <w:b/>
          <w:lang w:eastAsia="en-US"/>
        </w:rPr>
        <w:t>Tema 7.- LEY 19/2013: LÍMITES A LA TRANSPARENCIA</w:t>
      </w:r>
    </w:p>
    <w:p w:rsidR="00900351" w:rsidRPr="00900351" w:rsidRDefault="00900351" w:rsidP="00900351">
      <w:pPr>
        <w:numPr>
          <w:ilvl w:val="0"/>
          <w:numId w:val="23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Admisibilidad de los límites (TEDH)</w:t>
      </w:r>
    </w:p>
    <w:p w:rsidR="00900351" w:rsidRPr="00900351" w:rsidRDefault="00900351" w:rsidP="00900351">
      <w:pPr>
        <w:numPr>
          <w:ilvl w:val="0"/>
          <w:numId w:val="23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Límites del artículo 14</w:t>
      </w:r>
    </w:p>
    <w:p w:rsidR="00900351" w:rsidRPr="00900351" w:rsidRDefault="00900351" w:rsidP="00900351">
      <w:pPr>
        <w:numPr>
          <w:ilvl w:val="0"/>
          <w:numId w:val="23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Causas de inadmisión del artículo 18</w:t>
      </w:r>
    </w:p>
    <w:p w:rsidR="00900351" w:rsidRPr="00900351" w:rsidRDefault="00900351" w:rsidP="00900351">
      <w:pPr>
        <w:rPr>
          <w:rFonts w:ascii="Calibri" w:hAnsi="Calibri" w:cs="Calibri"/>
          <w:b/>
        </w:rPr>
      </w:pPr>
    </w:p>
    <w:p w:rsidR="00900351" w:rsidRPr="00900351" w:rsidRDefault="00900351" w:rsidP="00900351">
      <w:pPr>
        <w:rPr>
          <w:rFonts w:ascii="Calibri" w:hAnsi="Calibri" w:cs="Calibri"/>
          <w:b/>
        </w:rPr>
      </w:pPr>
      <w:r w:rsidRPr="00900351">
        <w:rPr>
          <w:rFonts w:ascii="Calibri" w:hAnsi="Calibri" w:cs="Calibri"/>
          <w:b/>
        </w:rPr>
        <w:t>Tema 8.- LEY 19/2013: LA PROTECCIÓN DE DATOS DEL ARTÍCULO 15 COMO LÍMITE</w:t>
      </w:r>
    </w:p>
    <w:p w:rsidR="00900351" w:rsidRPr="00900351" w:rsidRDefault="00900351" w:rsidP="00900351">
      <w:pPr>
        <w:numPr>
          <w:ilvl w:val="0"/>
          <w:numId w:val="24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Razones de la protección de datos</w:t>
      </w:r>
    </w:p>
    <w:p w:rsidR="00900351" w:rsidRPr="00900351" w:rsidRDefault="00900351" w:rsidP="00900351">
      <w:pPr>
        <w:numPr>
          <w:ilvl w:val="0"/>
          <w:numId w:val="24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Sistemas norteamericano y europeo</w:t>
      </w:r>
    </w:p>
    <w:p w:rsidR="00900351" w:rsidRPr="00900351" w:rsidRDefault="00900351" w:rsidP="00900351">
      <w:pPr>
        <w:numPr>
          <w:ilvl w:val="0"/>
          <w:numId w:val="24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Reconocimiento constitucional</w:t>
      </w:r>
    </w:p>
    <w:p w:rsidR="00900351" w:rsidRPr="00900351" w:rsidRDefault="00900351" w:rsidP="00900351">
      <w:pPr>
        <w:numPr>
          <w:ilvl w:val="0"/>
          <w:numId w:val="24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Normativa Evolución histórica</w:t>
      </w:r>
    </w:p>
    <w:p w:rsidR="00900351" w:rsidRPr="00900351" w:rsidRDefault="00900351" w:rsidP="00900351">
      <w:pPr>
        <w:numPr>
          <w:ilvl w:val="0"/>
          <w:numId w:val="24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La Ley Orgánica 3/2018</w:t>
      </w:r>
    </w:p>
    <w:p w:rsidR="00900351" w:rsidRPr="00900351" w:rsidRDefault="00900351" w:rsidP="00900351">
      <w:pPr>
        <w:numPr>
          <w:ilvl w:val="0"/>
          <w:numId w:val="24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Agencia Española de Protección de Datos Personales</w:t>
      </w:r>
    </w:p>
    <w:p w:rsidR="00900351" w:rsidRPr="00900351" w:rsidRDefault="00900351" w:rsidP="00900351">
      <w:pPr>
        <w:spacing w:line="259" w:lineRule="auto"/>
        <w:ind w:left="1080"/>
        <w:rPr>
          <w:rFonts w:ascii="Calibri" w:eastAsia="Calibri" w:hAnsi="Calibri" w:cs="Calibri"/>
          <w:u w:val="single"/>
          <w:lang w:eastAsia="en-US"/>
        </w:rPr>
      </w:pPr>
    </w:p>
    <w:p w:rsidR="00900351" w:rsidRPr="00900351" w:rsidRDefault="00900351" w:rsidP="00900351">
      <w:p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b/>
          <w:lang w:eastAsia="en-US"/>
        </w:rPr>
        <w:t>Tema 9.- LEY 19/2013: EL CONSEJO DE TRANSPARENCIA Y BUEN GOBIERNO</w:t>
      </w:r>
    </w:p>
    <w:p w:rsidR="00900351" w:rsidRPr="00900351" w:rsidRDefault="00900351" w:rsidP="00900351">
      <w:pPr>
        <w:numPr>
          <w:ilvl w:val="0"/>
          <w:numId w:val="26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 xml:space="preserve">El Consejo de Transparencia y Buen Gobierno, </w:t>
      </w:r>
    </w:p>
    <w:p w:rsidR="00900351" w:rsidRPr="00900351" w:rsidRDefault="00900351" w:rsidP="00900351">
      <w:pPr>
        <w:numPr>
          <w:ilvl w:val="0"/>
          <w:numId w:val="26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Regulación jurídica.</w:t>
      </w:r>
    </w:p>
    <w:p w:rsidR="00900351" w:rsidRPr="00900351" w:rsidRDefault="00900351" w:rsidP="00900351">
      <w:pPr>
        <w:numPr>
          <w:ilvl w:val="0"/>
          <w:numId w:val="26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Estructura orgánica y composición del Consejo.</w:t>
      </w:r>
    </w:p>
    <w:p w:rsidR="00900351" w:rsidRPr="00900351" w:rsidRDefault="00900351" w:rsidP="00900351">
      <w:pPr>
        <w:numPr>
          <w:ilvl w:val="0"/>
          <w:numId w:val="26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Funciones del Consejo:</w:t>
      </w:r>
    </w:p>
    <w:p w:rsidR="00900351" w:rsidRPr="00900351" w:rsidRDefault="00900351" w:rsidP="00900351">
      <w:pPr>
        <w:numPr>
          <w:ilvl w:val="0"/>
          <w:numId w:val="26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Relaciones del Consejo con otros organismos del Estado: Cortes Generales y Agencia española de protección de datos.</w:t>
      </w:r>
    </w:p>
    <w:p w:rsidR="00900351" w:rsidRPr="00900351" w:rsidRDefault="00900351" w:rsidP="00900351">
      <w:pPr>
        <w:numPr>
          <w:ilvl w:val="0"/>
          <w:numId w:val="26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Red de Consejos y Comisionados de Transparencia</w:t>
      </w:r>
    </w:p>
    <w:p w:rsidR="00900351" w:rsidRPr="00900351" w:rsidRDefault="00900351" w:rsidP="00900351">
      <w:pPr>
        <w:spacing w:line="259" w:lineRule="auto"/>
        <w:ind w:left="360"/>
        <w:jc w:val="both"/>
        <w:rPr>
          <w:rFonts w:ascii="Calibri" w:eastAsia="Calibri" w:hAnsi="Calibri" w:cs="Calibri"/>
          <w:lang w:eastAsia="en-US"/>
        </w:rPr>
      </w:pPr>
    </w:p>
    <w:p w:rsidR="00900351" w:rsidRPr="00900351" w:rsidRDefault="00900351" w:rsidP="00900351">
      <w:pPr>
        <w:spacing w:line="259" w:lineRule="auto"/>
        <w:jc w:val="both"/>
        <w:rPr>
          <w:rFonts w:ascii="Calibri" w:eastAsia="Calibri" w:hAnsi="Calibri" w:cs="Calibri"/>
          <w:b/>
          <w:lang w:eastAsia="en-US"/>
        </w:rPr>
      </w:pPr>
      <w:r w:rsidRPr="00900351">
        <w:rPr>
          <w:rFonts w:ascii="Calibri" w:eastAsia="Calibri" w:hAnsi="Calibri" w:cs="Calibri"/>
          <w:b/>
          <w:lang w:eastAsia="en-US"/>
        </w:rPr>
        <w:t>Tema 10.- LEY 19/2013: EL PRINCIPIO DEL “BUEN GOBIERNO”</w:t>
      </w:r>
    </w:p>
    <w:p w:rsidR="00900351" w:rsidRPr="00900351" w:rsidRDefault="00900351" w:rsidP="00900351">
      <w:pPr>
        <w:numPr>
          <w:ilvl w:val="0"/>
          <w:numId w:val="27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El concepto de buen gobierno y su naturaleza jurídica</w:t>
      </w:r>
    </w:p>
    <w:p w:rsidR="00900351" w:rsidRPr="00900351" w:rsidRDefault="00900351" w:rsidP="00900351">
      <w:pPr>
        <w:numPr>
          <w:ilvl w:val="0"/>
          <w:numId w:val="27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Ámbito subjetivo de aplicación de la ley, título II relativo al “buen gobierno”.</w:t>
      </w:r>
    </w:p>
    <w:p w:rsidR="00900351" w:rsidRPr="00900351" w:rsidRDefault="00900351" w:rsidP="00900351">
      <w:pPr>
        <w:numPr>
          <w:ilvl w:val="0"/>
          <w:numId w:val="27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El contenido esencial del buen gobierno</w:t>
      </w:r>
    </w:p>
    <w:p w:rsidR="00900351" w:rsidRPr="00900351" w:rsidRDefault="00900351" w:rsidP="00900351">
      <w:pPr>
        <w:numPr>
          <w:ilvl w:val="0"/>
          <w:numId w:val="27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Sanciones</w:t>
      </w:r>
    </w:p>
    <w:p w:rsidR="00900351" w:rsidRPr="00900351" w:rsidRDefault="00900351" w:rsidP="00900351">
      <w:pPr>
        <w:numPr>
          <w:ilvl w:val="0"/>
          <w:numId w:val="27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La desconexión con la transparencia</w:t>
      </w:r>
    </w:p>
    <w:p w:rsidR="00900351" w:rsidRPr="00900351" w:rsidRDefault="00900351" w:rsidP="00900351">
      <w:pPr>
        <w:spacing w:line="259" w:lineRule="auto"/>
        <w:ind w:left="1065"/>
        <w:jc w:val="both"/>
        <w:rPr>
          <w:rFonts w:ascii="Calibri" w:eastAsia="Calibri" w:hAnsi="Calibri" w:cs="Calibri"/>
          <w:b/>
          <w:lang w:eastAsia="en-US"/>
        </w:rPr>
      </w:pPr>
    </w:p>
    <w:p w:rsidR="00900351" w:rsidRPr="00900351" w:rsidRDefault="00900351" w:rsidP="00900351">
      <w:pPr>
        <w:spacing w:line="259" w:lineRule="auto"/>
        <w:jc w:val="both"/>
        <w:rPr>
          <w:rFonts w:ascii="Calibri" w:eastAsia="Calibri" w:hAnsi="Calibri" w:cs="Calibri"/>
          <w:b/>
          <w:lang w:eastAsia="en-US"/>
        </w:rPr>
      </w:pPr>
      <w:r w:rsidRPr="00900351">
        <w:rPr>
          <w:rFonts w:ascii="Calibri" w:eastAsia="Calibri" w:hAnsi="Calibri" w:cs="Calibri"/>
          <w:b/>
          <w:lang w:eastAsia="en-US"/>
        </w:rPr>
        <w:t>Tema 11.- TRANSPARENCIA DE LOS SUJETOS PRIVADOS</w:t>
      </w:r>
    </w:p>
    <w:p w:rsidR="00900351" w:rsidRPr="00900351" w:rsidRDefault="00900351" w:rsidP="00900351">
      <w:pPr>
        <w:numPr>
          <w:ilvl w:val="0"/>
          <w:numId w:val="28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Por obligaciones de la Ley 13/2019</w:t>
      </w:r>
    </w:p>
    <w:p w:rsidR="00900351" w:rsidRPr="00900351" w:rsidRDefault="00900351" w:rsidP="00900351">
      <w:pPr>
        <w:numPr>
          <w:ilvl w:val="0"/>
          <w:numId w:val="28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Por obligaciones de empresas con cotización en Bolsa. Normas de buen gobierno corporativo. (Ley de Sociedades de Capital) CNMV</w:t>
      </w:r>
    </w:p>
    <w:p w:rsidR="00900351" w:rsidRPr="00900351" w:rsidRDefault="00900351" w:rsidP="00900351">
      <w:pPr>
        <w:numPr>
          <w:ilvl w:val="0"/>
          <w:numId w:val="28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Por obligación de información en materia de información no financiera. Transparencia social, diversidad y medio ambiental (Ley 11/2018)</w:t>
      </w:r>
    </w:p>
    <w:p w:rsidR="00900351" w:rsidRPr="00900351" w:rsidRDefault="00900351" w:rsidP="00900351">
      <w:pPr>
        <w:numPr>
          <w:ilvl w:val="0"/>
          <w:numId w:val="28"/>
        </w:numPr>
        <w:spacing w:line="259" w:lineRule="auto"/>
        <w:jc w:val="both"/>
        <w:rPr>
          <w:rFonts w:ascii="Calibri" w:eastAsia="Calibri" w:hAnsi="Calibri" w:cs="Calibri"/>
          <w:lang w:eastAsia="en-US"/>
        </w:rPr>
      </w:pPr>
      <w:r w:rsidRPr="00900351">
        <w:rPr>
          <w:rFonts w:ascii="Calibri" w:eastAsia="Calibri" w:hAnsi="Calibri" w:cs="Calibri"/>
          <w:lang w:eastAsia="en-US"/>
        </w:rPr>
        <w:t>Por imperativo jurisprudencial. Transparencia en la contratación</w:t>
      </w:r>
    </w:p>
    <w:p w:rsidR="00900351" w:rsidRPr="00900351" w:rsidRDefault="00900351" w:rsidP="00900351">
      <w:pPr>
        <w:jc w:val="both"/>
        <w:rPr>
          <w:rFonts w:ascii="Calibri" w:eastAsia="Calibri" w:hAnsi="Calibri" w:cs="Calibri"/>
          <w:lang w:eastAsia="en-US"/>
        </w:rPr>
      </w:pPr>
    </w:p>
    <w:p w:rsidR="00900351" w:rsidRPr="00900351" w:rsidRDefault="00900351" w:rsidP="00900351">
      <w:pPr>
        <w:jc w:val="both"/>
        <w:rPr>
          <w:rFonts w:ascii="Calibri" w:eastAsia="Calibri" w:hAnsi="Calibri" w:cs="Calibri"/>
          <w:lang w:eastAsia="en-US"/>
        </w:rPr>
      </w:pPr>
    </w:p>
    <w:p w:rsidR="00900351" w:rsidRPr="00900351" w:rsidRDefault="00900351" w:rsidP="00900351">
      <w:pPr>
        <w:spacing w:line="259" w:lineRule="auto"/>
        <w:jc w:val="both"/>
        <w:rPr>
          <w:rFonts w:ascii="Calibri" w:eastAsia="Calibri" w:hAnsi="Calibri" w:cs="Calibri"/>
          <w:b/>
          <w:lang w:eastAsia="en-US"/>
        </w:rPr>
      </w:pPr>
      <w:r w:rsidRPr="00900351">
        <w:rPr>
          <w:rFonts w:ascii="Calibri" w:eastAsia="Calibri" w:hAnsi="Calibri" w:cs="Calibri"/>
          <w:b/>
          <w:lang w:eastAsia="en-US"/>
        </w:rPr>
        <w:lastRenderedPageBreak/>
        <w:t>Tema 12.- ESTADÍSTICA, COMUNICACIÓN Y TRANSPARENCIA</w:t>
      </w:r>
    </w:p>
    <w:p w:rsidR="00900351" w:rsidRPr="00900351" w:rsidRDefault="00900351" w:rsidP="00900351">
      <w:pPr>
        <w:numPr>
          <w:ilvl w:val="0"/>
          <w:numId w:val="18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De los datos a la información</w:t>
      </w:r>
    </w:p>
    <w:p w:rsidR="00900351" w:rsidRPr="00900351" w:rsidRDefault="00900351" w:rsidP="00900351">
      <w:pPr>
        <w:numPr>
          <w:ilvl w:val="0"/>
          <w:numId w:val="18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La Estadística como receptora o emisora de información</w:t>
      </w:r>
    </w:p>
    <w:p w:rsidR="00900351" w:rsidRPr="00900351" w:rsidRDefault="00900351" w:rsidP="00900351">
      <w:pPr>
        <w:numPr>
          <w:ilvl w:val="0"/>
          <w:numId w:val="18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Interacción de la Estadística con la Transparencia</w:t>
      </w:r>
    </w:p>
    <w:p w:rsidR="00900351" w:rsidRPr="00900351" w:rsidRDefault="00900351" w:rsidP="00900351">
      <w:pPr>
        <w:numPr>
          <w:ilvl w:val="1"/>
          <w:numId w:val="18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El acceso a las fuentes de información estadística. Input</w:t>
      </w:r>
    </w:p>
    <w:p w:rsidR="00900351" w:rsidRPr="00900351" w:rsidRDefault="00900351" w:rsidP="00900351">
      <w:pPr>
        <w:numPr>
          <w:ilvl w:val="1"/>
          <w:numId w:val="18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La estadística como generadora de transparencia. Output</w:t>
      </w:r>
    </w:p>
    <w:p w:rsidR="00900351" w:rsidRPr="00900351" w:rsidRDefault="00900351" w:rsidP="00900351">
      <w:pPr>
        <w:numPr>
          <w:ilvl w:val="0"/>
          <w:numId w:val="18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La transparencia y calidad.</w:t>
      </w:r>
    </w:p>
    <w:p w:rsidR="00900351" w:rsidRPr="00900351" w:rsidRDefault="00900351" w:rsidP="00900351">
      <w:pPr>
        <w:numPr>
          <w:ilvl w:val="0"/>
          <w:numId w:val="18"/>
        </w:numPr>
        <w:spacing w:line="259" w:lineRule="auto"/>
        <w:rPr>
          <w:rFonts w:ascii="Calibri" w:hAnsi="Calibri" w:cs="Calibri"/>
        </w:rPr>
      </w:pPr>
      <w:r w:rsidRPr="00900351">
        <w:rPr>
          <w:rFonts w:ascii="Calibri" w:hAnsi="Calibri" w:cs="Calibri"/>
        </w:rPr>
        <w:t>Fuentes de la transparencia para la estadística</w:t>
      </w:r>
    </w:p>
    <w:p w:rsidR="00EF16F8" w:rsidRDefault="00EF16F8" w:rsidP="00EF16F8">
      <w:pPr>
        <w:jc w:val="both"/>
        <w:rPr>
          <w:rFonts w:ascii="Arial Narrow" w:hAnsi="Arial Narrow" w:cs="Arial"/>
          <w:u w:val="single"/>
        </w:rPr>
      </w:pPr>
    </w:p>
    <w:p w:rsidR="00900351" w:rsidRDefault="00900351" w:rsidP="00EF16F8">
      <w:pPr>
        <w:jc w:val="both"/>
        <w:rPr>
          <w:rFonts w:ascii="Arial Narrow" w:hAnsi="Arial Narrow" w:cs="Arial"/>
          <w:u w:val="single"/>
        </w:rPr>
      </w:pPr>
    </w:p>
    <w:p w:rsidR="00900351" w:rsidRDefault="00900351" w:rsidP="00EF16F8">
      <w:pPr>
        <w:jc w:val="both"/>
        <w:rPr>
          <w:rFonts w:ascii="Arial Narrow" w:hAnsi="Arial Narrow" w:cs="Arial"/>
          <w:u w:val="single"/>
        </w:rPr>
      </w:pPr>
    </w:p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MATERIAL BIBLIOGRÁFICO Y OTROS RECURSOS DIDÁCTICOS</w:t>
      </w:r>
    </w:p>
    <w:p w:rsidR="00EF16F8" w:rsidRDefault="00EF16F8" w:rsidP="00EF16F8"/>
    <w:p w:rsidR="00EF16F8" w:rsidRDefault="00EF16F8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16F8" w:rsidRPr="00D32CA6" w:rsidTr="0004408C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EF16F8" w:rsidRPr="00D32CA6" w:rsidRDefault="00EF16F8" w:rsidP="0004408C">
            <w:pPr>
              <w:spacing w:before="240" w:after="24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Bibliografía básica </w:t>
            </w:r>
          </w:p>
        </w:tc>
      </w:tr>
      <w:tr w:rsidR="00EF16F8" w:rsidRPr="00D32CA6" w:rsidTr="0004408C">
        <w:trPr>
          <w:trHeight w:val="245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F16F8" w:rsidRDefault="00EF16F8" w:rsidP="0004408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0351" w:rsidRPr="006F71B1" w:rsidRDefault="00900351" w:rsidP="0004408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0351" w:rsidRDefault="00900351" w:rsidP="009003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1B1">
              <w:rPr>
                <w:rFonts w:ascii="Arial" w:hAnsi="Arial" w:cs="Arial"/>
                <w:b/>
              </w:rPr>
              <w:t>GUICHOT REINA E.</w:t>
            </w:r>
            <w:r w:rsidRPr="006F71B1">
              <w:rPr>
                <w:rFonts w:ascii="Arial" w:hAnsi="Arial" w:cs="Arial"/>
              </w:rPr>
              <w:t>, (coord.),</w:t>
            </w:r>
            <w:r>
              <w:rPr>
                <w:rFonts w:ascii="Arial" w:hAnsi="Arial" w:cs="Arial"/>
              </w:rPr>
              <w:t xml:space="preserve"> </w:t>
            </w:r>
            <w:r w:rsidRPr="006F71B1">
              <w:rPr>
                <w:rFonts w:ascii="Arial" w:hAnsi="Arial" w:cs="Arial"/>
              </w:rPr>
              <w:t xml:space="preserve">Transparencia, Acceso a la Información Pública y Buen Gobierno. Estudio de la Ley 19/2013, de 9 de diciembre, </w:t>
            </w:r>
            <w:proofErr w:type="spellStart"/>
            <w:r w:rsidRPr="00086886">
              <w:rPr>
                <w:rFonts w:ascii="Arial" w:hAnsi="Arial" w:cs="Arial"/>
                <w:i/>
              </w:rPr>
              <w:t>Tecnos</w:t>
            </w:r>
            <w:proofErr w:type="spellEnd"/>
            <w:r w:rsidRPr="006F71B1">
              <w:rPr>
                <w:rFonts w:ascii="Arial" w:hAnsi="Arial" w:cs="Arial"/>
              </w:rPr>
              <w:t>, Madrid 2014;</w:t>
            </w:r>
          </w:p>
          <w:p w:rsidR="00900351" w:rsidRPr="00831A5C" w:rsidRDefault="00900351" w:rsidP="009003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1B1">
              <w:rPr>
                <w:rFonts w:ascii="Arial" w:hAnsi="Arial" w:cs="Arial"/>
                <w:b/>
              </w:rPr>
              <w:t>LLOP RIBALTA Mª D</w:t>
            </w:r>
            <w:r>
              <w:rPr>
                <w:rFonts w:ascii="Arial" w:hAnsi="Arial" w:cs="Arial"/>
              </w:rPr>
              <w:t xml:space="preserve">., “Transparencia, Acceso a la Información Pública y Buen Gobierno en los parlamentos” </w:t>
            </w:r>
            <w:r w:rsidRPr="000B6BD9">
              <w:rPr>
                <w:rFonts w:ascii="Arial" w:hAnsi="Arial" w:cs="Arial"/>
                <w:i/>
              </w:rPr>
              <w:t>Cuadernos Manuel Giménez Abad</w:t>
            </w:r>
            <w:r>
              <w:rPr>
                <w:rFonts w:ascii="Arial" w:hAnsi="Arial" w:cs="Arial"/>
              </w:rPr>
              <w:t>, nº 4, diciembre 2012, pág. 66-83;</w:t>
            </w:r>
          </w:p>
          <w:p w:rsidR="00900351" w:rsidRDefault="00900351" w:rsidP="009003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886">
              <w:rPr>
                <w:rFonts w:ascii="Arial" w:hAnsi="Arial" w:cs="Arial"/>
                <w:b/>
              </w:rPr>
              <w:t>MORENO GONZÁLEZ G</w:t>
            </w:r>
            <w:r>
              <w:rPr>
                <w:rFonts w:ascii="Arial" w:hAnsi="Arial" w:cs="Arial"/>
              </w:rPr>
              <w:t xml:space="preserve">., “El Derecho de Acceso a la Información Pública en la Ley de Transparencia: una aproximación constitucional”, </w:t>
            </w:r>
            <w:proofErr w:type="spellStart"/>
            <w:r w:rsidRPr="00086886">
              <w:rPr>
                <w:rFonts w:ascii="Arial" w:hAnsi="Arial" w:cs="Arial"/>
                <w:i/>
              </w:rPr>
              <w:t>Eunomía</w:t>
            </w:r>
            <w:proofErr w:type="spellEnd"/>
            <w:r w:rsidRPr="00086886">
              <w:rPr>
                <w:rFonts w:ascii="Arial" w:hAnsi="Arial" w:cs="Arial"/>
                <w:i/>
              </w:rPr>
              <w:t>, Revista en Cultura de la Legalidad</w:t>
            </w:r>
            <w:r>
              <w:rPr>
                <w:rFonts w:ascii="Arial" w:hAnsi="Arial" w:cs="Arial"/>
              </w:rPr>
              <w:t>, nº 8, marzo-agosto 2015, págs. 93-125;</w:t>
            </w:r>
          </w:p>
          <w:p w:rsidR="00900351" w:rsidRDefault="00900351" w:rsidP="009003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1B1">
              <w:rPr>
                <w:rFonts w:ascii="Arial" w:hAnsi="Arial" w:cs="Arial"/>
                <w:b/>
              </w:rPr>
              <w:t>PIÑAR MAÑAS L</w:t>
            </w:r>
            <w:r w:rsidRPr="006F71B1">
              <w:rPr>
                <w:rFonts w:ascii="Arial" w:hAnsi="Arial" w:cs="Arial"/>
              </w:rPr>
              <w:t xml:space="preserve">., Transparencia y Derecho de Acceso a la información pública. Algunas reflexiones en torno al Derecho de Acceso en la Ley 19/2013, de Transparencia, Acceso a la Información y Buen Gobierno.” </w:t>
            </w:r>
            <w:r w:rsidRPr="006F71B1">
              <w:rPr>
                <w:rFonts w:ascii="Arial" w:hAnsi="Arial" w:cs="Arial"/>
                <w:i/>
              </w:rPr>
              <w:t xml:space="preserve">Revista Catalana de </w:t>
            </w:r>
            <w:proofErr w:type="spellStart"/>
            <w:r w:rsidRPr="006F71B1">
              <w:rPr>
                <w:rFonts w:ascii="Arial" w:hAnsi="Arial" w:cs="Arial"/>
                <w:i/>
              </w:rPr>
              <w:t>Dret</w:t>
            </w:r>
            <w:proofErr w:type="spellEnd"/>
            <w:r w:rsidRPr="006F71B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F71B1">
              <w:rPr>
                <w:rFonts w:ascii="Arial" w:hAnsi="Arial" w:cs="Arial"/>
                <w:i/>
              </w:rPr>
              <w:t>Públic</w:t>
            </w:r>
            <w:proofErr w:type="spellEnd"/>
            <w:r w:rsidRPr="006F71B1">
              <w:rPr>
                <w:rFonts w:ascii="Arial" w:hAnsi="Arial" w:cs="Arial"/>
              </w:rPr>
              <w:t xml:space="preserve">, n. 49, 2014; </w:t>
            </w:r>
          </w:p>
          <w:p w:rsidR="00900351" w:rsidRPr="00163026" w:rsidRDefault="00900351" w:rsidP="009003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3026">
              <w:rPr>
                <w:rFonts w:ascii="Arial" w:hAnsi="Arial" w:cs="Arial"/>
                <w:b/>
              </w:rPr>
              <w:t xml:space="preserve">SÁNCHEZ DE DIEGO FERNÁNDEZ DE LA RIVA, M. y otros, </w:t>
            </w:r>
            <w:r w:rsidRPr="00163026">
              <w:rPr>
                <w:rFonts w:ascii="Arial" w:hAnsi="Arial" w:cs="Arial"/>
              </w:rPr>
              <w:t xml:space="preserve">“31 Visiones actuales de la Transparencia”. </w:t>
            </w:r>
            <w:proofErr w:type="spellStart"/>
            <w:r w:rsidRPr="00163026">
              <w:rPr>
                <w:rFonts w:ascii="Arial" w:hAnsi="Arial" w:cs="Arial"/>
              </w:rPr>
              <w:t>Acreditra</w:t>
            </w:r>
            <w:proofErr w:type="spellEnd"/>
            <w:r w:rsidRPr="00163026">
              <w:rPr>
                <w:rFonts w:ascii="Arial" w:hAnsi="Arial" w:cs="Arial"/>
              </w:rPr>
              <w:t xml:space="preserve"> Cádiz, Sept. 2017</w:t>
            </w:r>
          </w:p>
          <w:p w:rsidR="00900351" w:rsidRPr="00163026" w:rsidRDefault="00900351" w:rsidP="009003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3026">
              <w:rPr>
                <w:rFonts w:ascii="Arial" w:hAnsi="Arial" w:cs="Arial"/>
                <w:b/>
              </w:rPr>
              <w:t xml:space="preserve">SÁNCHEZ DE DIEGO FERNÁNDEZ DE LA RIVA, M. y otros, </w:t>
            </w:r>
            <w:r w:rsidRPr="00163026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Apuntes sobre la transparencia</w:t>
            </w:r>
            <w:r w:rsidRPr="00163026">
              <w:rPr>
                <w:rFonts w:ascii="Arial" w:hAnsi="Arial" w:cs="Arial"/>
              </w:rPr>
              <w:t xml:space="preserve">”. </w:t>
            </w:r>
            <w:r>
              <w:rPr>
                <w:rFonts w:ascii="Arial" w:hAnsi="Arial" w:cs="Arial"/>
              </w:rPr>
              <w:t>Instituto de Derecho Comparado UCM</w:t>
            </w:r>
            <w:r w:rsidRPr="001630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Madrid,</w:t>
            </w:r>
            <w:r w:rsidRPr="00163026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9</w:t>
            </w:r>
          </w:p>
          <w:p w:rsidR="00900351" w:rsidRPr="00831A5C" w:rsidRDefault="00900351" w:rsidP="009003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TRONCOSO REIGADA, </w:t>
            </w:r>
            <w:proofErr w:type="spellStart"/>
            <w:r>
              <w:rPr>
                <w:rFonts w:ascii="Arial" w:hAnsi="Arial" w:cs="Arial"/>
                <w:b/>
              </w:rPr>
              <w:t>A.</w:t>
            </w:r>
            <w:r w:rsidRPr="00163026">
              <w:rPr>
                <w:rFonts w:ascii="Arial" w:hAnsi="Arial" w:cs="Arial"/>
                <w:b/>
              </w:rPr>
              <w:t>y</w:t>
            </w:r>
            <w:proofErr w:type="spellEnd"/>
            <w:r w:rsidRPr="00163026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163026">
              <w:rPr>
                <w:rFonts w:ascii="Arial" w:hAnsi="Arial" w:cs="Arial"/>
                <w:b/>
              </w:rPr>
              <w:t>otros</w:t>
            </w:r>
            <w:r w:rsidRPr="00163026">
              <w:rPr>
                <w:rFonts w:ascii="Arial" w:hAnsi="Arial" w:cs="Arial"/>
              </w:rPr>
              <w:t xml:space="preserve"> :</w:t>
            </w:r>
            <w:proofErr w:type="gramEnd"/>
            <w:r w:rsidRPr="00163026">
              <w:rPr>
                <w:rFonts w:ascii="Arial" w:hAnsi="Arial" w:cs="Arial"/>
              </w:rPr>
              <w:t xml:space="preserve"> “Comentarios a la Ley 19/2003, de 9 de diciembre. Transparencia, Acceso a la Información Pública y Buen Gobierno” Thomson- </w:t>
            </w:r>
            <w:proofErr w:type="spellStart"/>
            <w:r w:rsidRPr="00163026">
              <w:rPr>
                <w:rFonts w:ascii="Arial" w:hAnsi="Arial" w:cs="Arial"/>
              </w:rPr>
              <w:t>Civitas</w:t>
            </w:r>
            <w:proofErr w:type="spellEnd"/>
            <w:r w:rsidRPr="00163026">
              <w:rPr>
                <w:rFonts w:ascii="Arial" w:hAnsi="Arial" w:cs="Arial"/>
              </w:rPr>
              <w:t>. Pamplona, 2017</w:t>
            </w:r>
          </w:p>
          <w:p w:rsidR="00900351" w:rsidRDefault="00900351" w:rsidP="009003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VALERO TORRIJOS J., y FERNÁNDEZ SALMERÓN M., (</w:t>
            </w:r>
            <w:proofErr w:type="spellStart"/>
            <w:r>
              <w:rPr>
                <w:rFonts w:ascii="Arial" w:hAnsi="Arial" w:cs="Arial"/>
                <w:b/>
              </w:rPr>
              <w:t>coords</w:t>
            </w:r>
            <w:proofErr w:type="spellEnd"/>
            <w:r>
              <w:rPr>
                <w:rFonts w:ascii="Arial" w:hAnsi="Arial" w:cs="Arial"/>
                <w:b/>
              </w:rPr>
              <w:t xml:space="preserve">.) </w:t>
            </w:r>
            <w:r>
              <w:rPr>
                <w:rFonts w:ascii="Arial" w:hAnsi="Arial" w:cs="Arial"/>
              </w:rPr>
              <w:t xml:space="preserve">Régimen Jurídico de la Transparencia del Sector Público, </w:t>
            </w:r>
            <w:r w:rsidRPr="00086886">
              <w:rPr>
                <w:rFonts w:ascii="Arial" w:hAnsi="Arial" w:cs="Arial"/>
                <w:i/>
              </w:rPr>
              <w:t>Aranzadi</w:t>
            </w:r>
            <w:r>
              <w:rPr>
                <w:rFonts w:ascii="Arial" w:hAnsi="Arial" w:cs="Arial"/>
              </w:rPr>
              <w:t xml:space="preserve"> 2014; </w:t>
            </w:r>
          </w:p>
          <w:p w:rsidR="00900351" w:rsidRDefault="00900351" w:rsidP="009003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581F">
              <w:rPr>
                <w:rFonts w:ascii="Arial" w:hAnsi="Arial" w:cs="Arial"/>
                <w:b/>
              </w:rPr>
              <w:t>WENCES I., KÖLLING M., y RAGONE S.</w:t>
            </w:r>
            <w:r w:rsidRPr="00A6581F">
              <w:rPr>
                <w:rFonts w:ascii="Arial" w:hAnsi="Arial" w:cs="Arial"/>
              </w:rPr>
              <w:t>, (</w:t>
            </w:r>
            <w:proofErr w:type="spellStart"/>
            <w:r w:rsidRPr="00A6581F">
              <w:rPr>
                <w:rFonts w:ascii="Arial" w:hAnsi="Arial" w:cs="Arial"/>
              </w:rPr>
              <w:t>coords</w:t>
            </w:r>
            <w:proofErr w:type="spellEnd"/>
            <w:r w:rsidRPr="00A6581F">
              <w:rPr>
                <w:rFonts w:ascii="Arial" w:hAnsi="Arial" w:cs="Arial"/>
              </w:rPr>
              <w:t>.), “La Ley de Transparencia, acceso a la informaci</w:t>
            </w:r>
            <w:r>
              <w:rPr>
                <w:rFonts w:ascii="Arial" w:hAnsi="Arial" w:cs="Arial"/>
              </w:rPr>
              <w:t>ón pública y buen gobierno”, CEPC, Madrid 2014;</w:t>
            </w:r>
          </w:p>
          <w:p w:rsidR="00900351" w:rsidRDefault="00900351" w:rsidP="00900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00351" w:rsidRDefault="00900351" w:rsidP="00900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F16F8" w:rsidRPr="00EB6ECB" w:rsidRDefault="00EF16F8" w:rsidP="0004504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F16F8" w:rsidRPr="00D32CA6" w:rsidTr="0004408C">
        <w:trPr>
          <w:trHeight w:val="813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EF16F8" w:rsidRPr="00D32CA6" w:rsidRDefault="00EF16F8" w:rsidP="0004408C">
            <w:pPr>
              <w:rPr>
                <w:rFonts w:ascii="Arial Narrow" w:hAnsi="Arial Narrow"/>
                <w:b/>
                <w:color w:val="000080"/>
              </w:rPr>
            </w:pPr>
          </w:p>
          <w:p w:rsidR="00EF16F8" w:rsidRPr="00D32CA6" w:rsidRDefault="00EF16F8" w:rsidP="0004408C">
            <w:pPr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>Bibliografía complementaria</w:t>
            </w:r>
          </w:p>
        </w:tc>
      </w:tr>
      <w:tr w:rsidR="00900351" w:rsidRPr="00727271" w:rsidTr="0004408C">
        <w:trPr>
          <w:trHeight w:val="1042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00351" w:rsidRPr="00DF3E12" w:rsidRDefault="00900351" w:rsidP="0090035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900351" w:rsidRDefault="00900351" w:rsidP="009003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>CAPDEVILLA MARTÍNEZ C</w:t>
            </w:r>
            <w:r>
              <w:rPr>
                <w:rFonts w:ascii="Arial" w:hAnsi="Arial" w:cs="Arial"/>
              </w:rPr>
              <w:t xml:space="preserve">., “La Transparencia en la Unión Europea”, en </w:t>
            </w:r>
            <w:r w:rsidRPr="00DF3E12">
              <w:rPr>
                <w:rFonts w:ascii="Arial" w:hAnsi="Arial" w:cs="Arial"/>
                <w:i/>
              </w:rPr>
              <w:t>Cuadernos de Derecho Público</w:t>
            </w:r>
            <w:r>
              <w:rPr>
                <w:rFonts w:ascii="Arial" w:hAnsi="Arial" w:cs="Arial"/>
              </w:rPr>
              <w:t>, nº 26, INAP 2005</w:t>
            </w:r>
          </w:p>
          <w:p w:rsidR="00900351" w:rsidRDefault="00900351" w:rsidP="009003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>CLIMENT BLANES M. A.</w:t>
            </w:r>
            <w:r>
              <w:rPr>
                <w:rFonts w:ascii="Arial" w:hAnsi="Arial" w:cs="Arial"/>
              </w:rPr>
              <w:t xml:space="preserve">, </w:t>
            </w:r>
            <w:r w:rsidRPr="00DF3E12">
              <w:rPr>
                <w:rFonts w:ascii="Arial" w:hAnsi="Arial" w:cs="Arial"/>
                <w:i/>
              </w:rPr>
              <w:t>La Transparencia informativa de las administraciones públicas: el derecho de las personas a saber y la obligación de difundir información pública de forma activa</w:t>
            </w:r>
            <w:r>
              <w:rPr>
                <w:rFonts w:ascii="Arial" w:hAnsi="Arial" w:cs="Arial"/>
              </w:rPr>
              <w:t>, Thomson Reuters, Aranzadi 2014;</w:t>
            </w:r>
          </w:p>
          <w:p w:rsidR="00900351" w:rsidRDefault="00900351" w:rsidP="009003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>EMBID IRUJO A</w:t>
            </w:r>
            <w:r>
              <w:rPr>
                <w:rFonts w:ascii="Arial" w:hAnsi="Arial" w:cs="Arial"/>
              </w:rPr>
              <w:t xml:space="preserve">., “El Derecho de acceso a los archivos y registros administrativos. Algunas reflexiones en las vísperas de sus consagraciones legislativas en la protección jurídica del ciudadano” en </w:t>
            </w:r>
            <w:r w:rsidRPr="001A1E02">
              <w:rPr>
                <w:rFonts w:ascii="Arial" w:hAnsi="Arial" w:cs="Arial"/>
                <w:i/>
              </w:rPr>
              <w:t>Estudios en homenaje a Jesús González Pérez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Civitas</w:t>
            </w:r>
            <w:proofErr w:type="spellEnd"/>
            <w:r>
              <w:rPr>
                <w:rFonts w:ascii="Arial" w:hAnsi="Arial" w:cs="Arial"/>
              </w:rPr>
              <w:t xml:space="preserve"> 1993;</w:t>
            </w:r>
          </w:p>
          <w:p w:rsidR="00900351" w:rsidRDefault="00900351" w:rsidP="009003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>FERNÁNDEZ RAMOS, S</w:t>
            </w:r>
            <w:r>
              <w:rPr>
                <w:rFonts w:ascii="Arial" w:hAnsi="Arial" w:cs="Arial"/>
              </w:rPr>
              <w:t xml:space="preserve">., “El acceso a la información en el proyecto de ley de Transparencia, Acceso a la Información pública y Buen Gobierno” en </w:t>
            </w:r>
            <w:r w:rsidRPr="00DF3E12">
              <w:rPr>
                <w:rFonts w:ascii="Arial" w:hAnsi="Arial" w:cs="Arial"/>
                <w:i/>
              </w:rPr>
              <w:t>Revista Aragonesa de Administración Pública</w:t>
            </w:r>
            <w:r>
              <w:rPr>
                <w:rFonts w:ascii="Arial" w:hAnsi="Arial" w:cs="Arial"/>
              </w:rPr>
              <w:t>, nº 14, 2013 (monográfico sobre Transparencia, Participación ciudadana y Administración pública en el siglo XXI);</w:t>
            </w:r>
          </w:p>
          <w:p w:rsidR="00900351" w:rsidRDefault="00900351" w:rsidP="009003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>GUICHOT E.</w:t>
            </w:r>
            <w:r>
              <w:rPr>
                <w:rFonts w:ascii="Arial" w:hAnsi="Arial" w:cs="Arial"/>
              </w:rPr>
              <w:t xml:space="preserve">, “El anteproyecto de ley de transparencia” en el </w:t>
            </w:r>
            <w:r w:rsidRPr="001A1E02">
              <w:rPr>
                <w:rFonts w:ascii="Arial" w:hAnsi="Arial" w:cs="Arial"/>
                <w:i/>
              </w:rPr>
              <w:t>Cronista del Estado Social y Democrático de Derecho</w:t>
            </w:r>
            <w:r>
              <w:rPr>
                <w:rFonts w:ascii="Arial" w:hAnsi="Arial" w:cs="Arial"/>
              </w:rPr>
              <w:t>, nº 30, IUSTEL, 2012;</w:t>
            </w:r>
          </w:p>
          <w:p w:rsidR="00900351" w:rsidRPr="00163026" w:rsidRDefault="00900351" w:rsidP="009003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3026">
              <w:rPr>
                <w:rFonts w:ascii="Arial" w:hAnsi="Arial" w:cs="Arial"/>
                <w:b/>
              </w:rPr>
              <w:t xml:space="preserve">JIMÉNEZ PLAZA, M. I., </w:t>
            </w:r>
            <w:r w:rsidRPr="00163026">
              <w:rPr>
                <w:rFonts w:ascii="Arial" w:hAnsi="Arial" w:cs="Arial"/>
                <w:i/>
              </w:rPr>
              <w:t>El derecho de acceso a la información municipal</w:t>
            </w:r>
            <w:r w:rsidRPr="00163026">
              <w:rPr>
                <w:rFonts w:ascii="Arial" w:hAnsi="Arial" w:cs="Arial"/>
              </w:rPr>
              <w:t>, IUSTEL, Madrid 2006;</w:t>
            </w:r>
          </w:p>
          <w:p w:rsidR="00900351" w:rsidRPr="00163026" w:rsidRDefault="00900351" w:rsidP="009003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3026">
              <w:rPr>
                <w:rFonts w:ascii="Arial" w:hAnsi="Arial" w:cs="Arial"/>
                <w:b/>
              </w:rPr>
              <w:t xml:space="preserve">SÁNCHEZ DE DIEGO FERNÁNDEZ DE LA RIVA, M. y TEJEDOR FUENTES, L., </w:t>
            </w:r>
            <w:r w:rsidRPr="00163026">
              <w:rPr>
                <w:rFonts w:ascii="Arial" w:hAnsi="Arial" w:cs="Arial"/>
                <w:i/>
              </w:rPr>
              <w:t>El Derecho de Acceso a la Información Pública en España y los Países Bajos. Dos escenarios mejorables</w:t>
            </w:r>
            <w:r w:rsidRPr="00163026">
              <w:rPr>
                <w:rFonts w:ascii="Arial" w:hAnsi="Arial" w:cs="Arial"/>
              </w:rPr>
              <w:t xml:space="preserve"> Revista Estudios de Deusto. Vol. 64/2, Julio-Diciembre 2016</w:t>
            </w:r>
          </w:p>
          <w:p w:rsidR="00900351" w:rsidRPr="00163026" w:rsidRDefault="00900351" w:rsidP="009003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3026">
              <w:rPr>
                <w:rFonts w:ascii="Arial" w:hAnsi="Arial" w:cs="Arial"/>
                <w:b/>
              </w:rPr>
              <w:t>SOTO LOSTAL, S</w:t>
            </w:r>
            <w:r w:rsidRPr="00163026">
              <w:rPr>
                <w:rFonts w:ascii="Arial" w:hAnsi="Arial" w:cs="Arial"/>
              </w:rPr>
              <w:t xml:space="preserve">., </w:t>
            </w:r>
            <w:r w:rsidRPr="00163026">
              <w:rPr>
                <w:rFonts w:ascii="Arial" w:hAnsi="Arial" w:cs="Arial"/>
                <w:i/>
              </w:rPr>
              <w:t>El Derecho de acceso a la información, el Estado social y el buen gobierno</w:t>
            </w:r>
            <w:r w:rsidRPr="00163026">
              <w:rPr>
                <w:rFonts w:ascii="Arial" w:hAnsi="Arial" w:cs="Arial"/>
              </w:rPr>
              <w:t>, Tirant lo Blanch, Valencia 2011;</w:t>
            </w:r>
          </w:p>
          <w:p w:rsidR="00900351" w:rsidRPr="00DF3E12" w:rsidRDefault="00900351" w:rsidP="00900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00351" w:rsidRPr="00D32CA6" w:rsidTr="0004408C">
        <w:trPr>
          <w:trHeight w:val="718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900351" w:rsidRPr="00D32CA6" w:rsidRDefault="00900351" w:rsidP="0090035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color w:val="231F2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Otros recursos </w:t>
            </w:r>
          </w:p>
        </w:tc>
      </w:tr>
      <w:tr w:rsidR="00900351" w:rsidRPr="00D32CA6" w:rsidTr="0004408C">
        <w:trPr>
          <w:trHeight w:val="1037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900351" w:rsidRDefault="00900351" w:rsidP="00900351">
            <w:pPr>
              <w:spacing w:before="120" w:line="240" w:lineRule="exact"/>
              <w:rPr>
                <w:rFonts w:ascii="Arial Narrow" w:hAnsi="Arial Narrow" w:cs="Arial"/>
                <w:b/>
                <w:i/>
                <w:color w:val="000080"/>
              </w:rPr>
            </w:pPr>
          </w:p>
          <w:p w:rsidR="00900351" w:rsidRDefault="00900351" w:rsidP="00900351">
            <w:pPr>
              <w:numPr>
                <w:ilvl w:val="0"/>
                <w:numId w:val="16"/>
              </w:numPr>
              <w:spacing w:before="120" w:line="240" w:lineRule="exact"/>
              <w:rPr>
                <w:rFonts w:ascii="Arial Narrow" w:hAnsi="Arial Narrow" w:cs="Arial"/>
                <w:color w:val="000080"/>
              </w:rPr>
            </w:pPr>
            <w:r w:rsidRPr="00122361">
              <w:rPr>
                <w:rFonts w:ascii="Arial Narrow" w:hAnsi="Arial Narrow" w:cs="Arial"/>
                <w:b/>
                <w:shd w:val="clear" w:color="auto" w:fill="FFFFFF"/>
              </w:rPr>
              <w:t>PÁGINAS WEBS RECOMENDADAS</w:t>
            </w:r>
            <w:r>
              <w:rPr>
                <w:rFonts w:ascii="Arial Narrow" w:hAnsi="Arial Narrow" w:cs="Arial"/>
                <w:color w:val="000080"/>
              </w:rPr>
              <w:t>:</w:t>
            </w:r>
          </w:p>
          <w:p w:rsidR="00900351" w:rsidRDefault="00900351" w:rsidP="00900351">
            <w:pPr>
              <w:spacing w:before="120" w:line="240" w:lineRule="exact"/>
              <w:ind w:left="720"/>
            </w:pPr>
          </w:p>
          <w:p w:rsidR="00900351" w:rsidRPr="00950235" w:rsidRDefault="006D49D8" w:rsidP="00900351">
            <w:pPr>
              <w:spacing w:before="120" w:line="240" w:lineRule="exact"/>
              <w:ind w:left="720"/>
              <w:rPr>
                <w:rStyle w:val="Hipervnculo"/>
              </w:rPr>
            </w:pPr>
            <w:hyperlink r:id="rId8" w:history="1">
              <w:r w:rsidR="00900351" w:rsidRPr="0016796A">
                <w:rPr>
                  <w:rStyle w:val="Hipervnculo"/>
                </w:rPr>
                <w:t>http://www.consejodetransparencia.es</w:t>
              </w:r>
            </w:hyperlink>
          </w:p>
          <w:p w:rsidR="00900351" w:rsidRPr="00950235" w:rsidRDefault="006D49D8" w:rsidP="00900351">
            <w:pPr>
              <w:spacing w:before="120" w:line="240" w:lineRule="exact"/>
              <w:ind w:left="720"/>
              <w:rPr>
                <w:rStyle w:val="Hipervnculo"/>
              </w:rPr>
            </w:pPr>
            <w:hyperlink r:id="rId9" w:history="1">
              <w:r w:rsidR="00900351" w:rsidRPr="00950235">
                <w:rPr>
                  <w:rStyle w:val="Hipervnculo"/>
                </w:rPr>
                <w:t>http://transparencia.gob.es/</w:t>
              </w:r>
            </w:hyperlink>
          </w:p>
          <w:p w:rsidR="00900351" w:rsidRDefault="006D49D8" w:rsidP="00900351">
            <w:pPr>
              <w:spacing w:before="120" w:line="240" w:lineRule="exact"/>
              <w:ind w:left="720"/>
              <w:rPr>
                <w:rStyle w:val="Hipervnculo"/>
              </w:rPr>
            </w:pPr>
            <w:hyperlink r:id="rId10" w:history="1">
              <w:r w:rsidR="00900351" w:rsidRPr="007971D2">
                <w:rPr>
                  <w:rStyle w:val="Hipervnculo"/>
                </w:rPr>
                <w:t>https://www.aepd.es/</w:t>
              </w:r>
            </w:hyperlink>
          </w:p>
          <w:p w:rsidR="00900351" w:rsidRDefault="00900351" w:rsidP="00900351">
            <w:pPr>
              <w:spacing w:before="120" w:line="240" w:lineRule="exact"/>
              <w:ind w:left="720"/>
              <w:rPr>
                <w:rStyle w:val="Hipervnculo"/>
              </w:rPr>
            </w:pPr>
            <w:r w:rsidRPr="00950235">
              <w:rPr>
                <w:rStyle w:val="Hipervnculo"/>
              </w:rPr>
              <w:t>https://www.cnmv.es/portal/home.aspx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Style w:val="Hipervnculo"/>
              </w:rPr>
            </w:pPr>
          </w:p>
          <w:p w:rsidR="00900351" w:rsidRDefault="00900351" w:rsidP="00900351">
            <w:pPr>
              <w:spacing w:before="120" w:line="240" w:lineRule="exact"/>
              <w:ind w:left="720"/>
              <w:rPr>
                <w:rStyle w:val="Hipervnculo"/>
              </w:rPr>
            </w:pPr>
            <w:r w:rsidRPr="00900351">
              <w:rPr>
                <w:rStyle w:val="Hipervnculo"/>
              </w:rPr>
              <w:t>https://www.boe.es/biblioteca_juridica/codigos/codigo.php?id=331_Transparencia_y_Buen_Gobierno&amp;modo=1</w:t>
            </w:r>
          </w:p>
          <w:p w:rsidR="00900351" w:rsidRPr="00900351" w:rsidRDefault="006D49D8" w:rsidP="00900351">
            <w:pPr>
              <w:spacing w:before="120" w:line="240" w:lineRule="exact"/>
              <w:ind w:left="720"/>
              <w:rPr>
                <w:rStyle w:val="Hipervnculo"/>
              </w:rPr>
            </w:pPr>
            <w:hyperlink r:id="rId11" w:history="1">
              <w:r w:rsidR="00900351" w:rsidRPr="00900351">
                <w:rPr>
                  <w:rStyle w:val="Hipervnculo"/>
                </w:rPr>
                <w:t>https://www.boe.es/biblioteca_juridica/codigos/abrir_pdf.php?fich=213_Codigo_de_Gobierno_Corporativo.pdf</w:t>
              </w:r>
            </w:hyperlink>
          </w:p>
          <w:p w:rsidR="00900351" w:rsidRPr="00900351" w:rsidRDefault="00900351" w:rsidP="00900351">
            <w:pPr>
              <w:spacing w:before="120" w:line="240" w:lineRule="exact"/>
              <w:ind w:left="720"/>
              <w:rPr>
                <w:rStyle w:val="Hipervnculo"/>
              </w:rPr>
            </w:pPr>
          </w:p>
          <w:p w:rsidR="00900351" w:rsidRPr="00900351" w:rsidRDefault="00900351" w:rsidP="00900351">
            <w:pPr>
              <w:spacing w:before="120" w:line="240" w:lineRule="exact"/>
              <w:rPr>
                <w:rStyle w:val="Hipervnculo"/>
              </w:rPr>
            </w:pPr>
          </w:p>
          <w:p w:rsidR="00900351" w:rsidRDefault="00900351" w:rsidP="00900351">
            <w:pPr>
              <w:numPr>
                <w:ilvl w:val="0"/>
                <w:numId w:val="16"/>
              </w:numPr>
              <w:spacing w:before="120" w:line="240" w:lineRule="exact"/>
              <w:rPr>
                <w:rFonts w:ascii="Arial Narrow" w:hAnsi="Arial Narrow" w:cs="Arial"/>
                <w:color w:val="000080"/>
              </w:rPr>
            </w:pPr>
            <w:r w:rsidRPr="00221561">
              <w:rPr>
                <w:rFonts w:ascii="Arial Narrow" w:hAnsi="Arial Narrow" w:cs="Arial"/>
                <w:b/>
              </w:rPr>
              <w:lastRenderedPageBreak/>
              <w:t>JURISPRUDENCIA</w:t>
            </w:r>
            <w:r>
              <w:rPr>
                <w:rFonts w:ascii="Arial Narrow" w:hAnsi="Arial Narrow" w:cs="Arial"/>
                <w:color w:val="000080"/>
              </w:rPr>
              <w:t>: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 xml:space="preserve">STEDH 1987, ASUNTO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Leander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c. Suecia, de 26 de marzo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 xml:space="preserve">STEDH 2004, ASUNTO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Loiseau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c. Francia de 28 de septiembre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 xml:space="preserve">STEDH 2006, ASUNTO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Sdruzeni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Jihoceské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Matky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c.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Czech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Republic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de 10 de julio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 xml:space="preserve">STEDH 2009, ASUNTO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Társaság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Szabadságjogokért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c. Hungría de 14 de abril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 xml:space="preserve">STEDH 2009, ASUNTO Kennedy c. Hungría de 16 de agosto 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 xml:space="preserve">STEDH 2000, ASUNTO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Amann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c. Suiza de 16 de febrero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 xml:space="preserve">STEDH 2000, ASUNTO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Rotaru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c.Rumanía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de 4 de mayo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 xml:space="preserve">STJUE 29 junio 2010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Comision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c. </w:t>
            </w:r>
            <w:proofErr w:type="spellStart"/>
            <w:r>
              <w:rPr>
                <w:rFonts w:ascii="Arial Narrow" w:hAnsi="Arial Narrow" w:cs="Arial"/>
                <w:color w:val="000080"/>
              </w:rPr>
              <w:t>Bavarian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 Lager Asunto C-28/08 P</w:t>
            </w:r>
          </w:p>
          <w:p w:rsidR="00900351" w:rsidRPr="002042B0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 w:rsidRPr="002042B0">
              <w:rPr>
                <w:rFonts w:ascii="Arial Narrow" w:hAnsi="Arial Narrow" w:cs="Arial"/>
                <w:color w:val="000080"/>
              </w:rPr>
              <w:t xml:space="preserve">STJUE  9 noviembre 2010 </w:t>
            </w:r>
            <w:proofErr w:type="spellStart"/>
            <w:r w:rsidRPr="002042B0">
              <w:rPr>
                <w:rFonts w:ascii="Arial Narrow" w:hAnsi="Arial Narrow" w:cs="Arial"/>
                <w:color w:val="000080"/>
              </w:rPr>
              <w:t>Volker</w:t>
            </w:r>
            <w:proofErr w:type="spellEnd"/>
            <w:r w:rsidRPr="002042B0">
              <w:rPr>
                <w:rFonts w:ascii="Arial Narrow" w:hAnsi="Arial Narrow" w:cs="Arial"/>
                <w:color w:val="000080"/>
              </w:rPr>
              <w:t xml:space="preserve"> </w:t>
            </w:r>
            <w:proofErr w:type="spellStart"/>
            <w:r w:rsidRPr="002042B0">
              <w:rPr>
                <w:rFonts w:ascii="Arial Narrow" w:hAnsi="Arial Narrow" w:cs="Arial"/>
                <w:color w:val="000080"/>
              </w:rPr>
              <w:t>und</w:t>
            </w:r>
            <w:proofErr w:type="spellEnd"/>
            <w:r w:rsidRPr="002042B0">
              <w:rPr>
                <w:rFonts w:ascii="Arial Narrow" w:hAnsi="Arial Narrow" w:cs="Arial"/>
                <w:color w:val="000080"/>
              </w:rPr>
              <w:t xml:space="preserve"> </w:t>
            </w:r>
            <w:proofErr w:type="spellStart"/>
            <w:r w:rsidRPr="002042B0">
              <w:rPr>
                <w:rFonts w:ascii="Arial Narrow" w:hAnsi="Arial Narrow" w:cs="Arial"/>
                <w:color w:val="000080"/>
              </w:rPr>
              <w:t>Markus</w:t>
            </w:r>
            <w:proofErr w:type="spellEnd"/>
            <w:r w:rsidRPr="002042B0">
              <w:rPr>
                <w:rFonts w:ascii="Arial Narrow" w:hAnsi="Arial Narrow" w:cs="Arial"/>
                <w:color w:val="000080"/>
              </w:rPr>
              <w:t xml:space="preserve"> </w:t>
            </w:r>
            <w:proofErr w:type="spellStart"/>
            <w:r w:rsidRPr="002042B0">
              <w:rPr>
                <w:rFonts w:ascii="Arial Narrow" w:hAnsi="Arial Narrow" w:cs="Arial"/>
                <w:color w:val="000080"/>
              </w:rPr>
              <w:t>Schecke</w:t>
            </w:r>
            <w:proofErr w:type="spellEnd"/>
            <w:r w:rsidRPr="002042B0">
              <w:rPr>
                <w:rFonts w:ascii="Arial Narrow" w:hAnsi="Arial Narrow" w:cs="Arial"/>
                <w:color w:val="000080"/>
              </w:rPr>
              <w:t xml:space="preserve">  y </w:t>
            </w:r>
            <w:proofErr w:type="spellStart"/>
            <w:r w:rsidRPr="002042B0">
              <w:rPr>
                <w:rFonts w:ascii="Arial Narrow" w:hAnsi="Arial Narrow" w:cs="Arial"/>
                <w:color w:val="000080"/>
              </w:rPr>
              <w:t>Hartmut</w:t>
            </w:r>
            <w:proofErr w:type="spellEnd"/>
            <w:r w:rsidRPr="002042B0">
              <w:rPr>
                <w:rFonts w:ascii="Arial Narrow" w:hAnsi="Arial Narrow" w:cs="Arial"/>
                <w:color w:val="000080"/>
              </w:rPr>
              <w:t xml:space="preserve"> </w:t>
            </w:r>
            <w:proofErr w:type="spellStart"/>
            <w:r w:rsidRPr="002042B0">
              <w:rPr>
                <w:rFonts w:ascii="Arial Narrow" w:hAnsi="Arial Narrow" w:cs="Arial"/>
                <w:color w:val="000080"/>
              </w:rPr>
              <w:t>Eifert</w:t>
            </w:r>
            <w:proofErr w:type="spellEnd"/>
            <w:r w:rsidRPr="002042B0">
              <w:rPr>
                <w:rFonts w:ascii="Arial Narrow" w:hAnsi="Arial Narrow" w:cs="Arial"/>
                <w:color w:val="000080"/>
              </w:rPr>
              <w:t xml:space="preserve"> Asuntos acumulados C-</w:t>
            </w:r>
            <w:r>
              <w:rPr>
                <w:rFonts w:ascii="Arial Narrow" w:hAnsi="Arial Narrow" w:cs="Arial"/>
                <w:color w:val="000080"/>
              </w:rPr>
              <w:t>92/09 93/09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Comisión Interamericana Informe 31/05, Sentencia 19 septiembre de 2006 ASUNTO Claude Reyes y otros c. Chile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11/1981, de 8 de abril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74/1982, de 7 de diciembre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19/1983, de 14 de marzo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159/1986, de 12 de diciembre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161/1988, de 20 de septiembre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204/1997, de 25 noviembre</w:t>
            </w:r>
          </w:p>
          <w:p w:rsidR="0090035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169/2000, de 9 de julio</w:t>
            </w:r>
          </w:p>
          <w:p w:rsidR="00900351" w:rsidRPr="00221561" w:rsidRDefault="00900351" w:rsidP="00900351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20/2011, de 14 de marzo</w:t>
            </w:r>
          </w:p>
        </w:tc>
      </w:tr>
    </w:tbl>
    <w:p w:rsidR="00EF16F8" w:rsidRDefault="00EF16F8" w:rsidP="00EF16F8"/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  <w:rPr>
          <w:rFonts w:ascii="Arial Narrow" w:hAnsi="Arial Narrow" w:cs="Arial"/>
          <w:u w:val="single"/>
        </w:rPr>
      </w:pPr>
    </w:p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GESTIÓN DEL PROCESO DE APRENDIZAJE</w:t>
      </w:r>
    </w:p>
    <w:p w:rsidR="00EF16F8" w:rsidRDefault="00EF16F8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2453"/>
      </w:tblGrid>
      <w:tr w:rsidR="00EF16F8" w:rsidRPr="00D32CA6" w:rsidTr="0004408C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EF16F8" w:rsidRPr="00D32CA6" w:rsidRDefault="00EF16F8" w:rsidP="0004408C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EF16F8" w:rsidRPr="00D32CA6" w:rsidRDefault="00EF16F8" w:rsidP="0004408C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>ACTIVIDADES PRESENCIALES DE ALUMNOS/AS Y PROFESORES/AS</w:t>
            </w:r>
            <w:r w:rsidRPr="00D32CA6">
              <w:rPr>
                <w:rFonts w:ascii="Arial Narrow" w:hAnsi="Arial Narrow" w:cs="Arial"/>
                <w:color w:val="000080"/>
              </w:rPr>
              <w:t xml:space="preserve"> </w:t>
            </w:r>
          </w:p>
        </w:tc>
      </w:tr>
      <w:tr w:rsidR="00EF16F8" w:rsidRPr="00D32CA6" w:rsidTr="0004408C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EF16F8" w:rsidRPr="0034198F" w:rsidRDefault="00EF16F8" w:rsidP="0004408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EF16F8" w:rsidRPr="00D32CA6" w:rsidTr="0004408C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Sesiones académicas teóricas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765DE2" w:rsidP="00765DE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  <w:r w:rsidR="00EF16F8" w:rsidRPr="00221561">
              <w:rPr>
                <w:rFonts w:ascii="Arial Narrow" w:hAnsi="Arial Narrow"/>
                <w:b/>
              </w:rPr>
              <w:t xml:space="preserve"> horas teóricas</w:t>
            </w:r>
          </w:p>
        </w:tc>
      </w:tr>
      <w:tr w:rsidR="00EF16F8" w:rsidRPr="00D32CA6" w:rsidTr="0004408C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Sesiones académicas de problemas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765DE2" w:rsidP="00765DE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EF16F8" w:rsidRPr="00221561">
              <w:rPr>
                <w:rFonts w:ascii="Arial Narrow" w:hAnsi="Arial Narrow"/>
                <w:b/>
              </w:rPr>
              <w:t xml:space="preserve"> horas prácticas</w:t>
            </w:r>
          </w:p>
        </w:tc>
      </w:tr>
      <w:tr w:rsidR="00EF16F8" w:rsidRPr="00221561" w:rsidTr="0004408C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 xml:space="preserve">Tutorías </w:t>
            </w:r>
            <w:r>
              <w:rPr>
                <w:rFonts w:ascii="Arial Narrow" w:hAnsi="Arial Narrow" w:cs="Arial"/>
                <w:b/>
                <w:color w:val="000080"/>
              </w:rPr>
              <w:t>grupales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765DE2" w:rsidP="0004408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 </w:t>
            </w:r>
            <w:r w:rsidR="00EF16F8" w:rsidRPr="00221561">
              <w:rPr>
                <w:rFonts w:ascii="Arial Narrow" w:hAnsi="Arial Narrow"/>
                <w:b/>
              </w:rPr>
              <w:t>horas teórico/prácticas</w:t>
            </w:r>
          </w:p>
        </w:tc>
      </w:tr>
      <w:tr w:rsidR="00EF16F8" w:rsidRPr="00D32CA6" w:rsidTr="0004408C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Presentaciones</w:t>
            </w:r>
            <w:r w:rsidRPr="00D32CA6">
              <w:rPr>
                <w:rFonts w:ascii="Arial Narrow" w:hAnsi="Arial Narrow" w:cs="Arial"/>
                <w:b/>
                <w:color w:val="000080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80"/>
              </w:rPr>
              <w:t>y debates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765DE2" w:rsidP="0004408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EF16F8" w:rsidRPr="00221561">
              <w:rPr>
                <w:rFonts w:ascii="Arial Narrow" w:hAnsi="Arial Narrow"/>
                <w:b/>
              </w:rPr>
              <w:t xml:space="preserve"> horas prácticas</w:t>
            </w:r>
          </w:p>
        </w:tc>
      </w:tr>
      <w:tr w:rsidR="00EF16F8" w:rsidRPr="00D32CA6" w:rsidTr="0004408C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TOTAL DE HORAS PRESENCIALES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700A05" w:rsidRDefault="00765DE2" w:rsidP="0004408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30 </w:t>
            </w:r>
            <w:r w:rsidR="00EF16F8" w:rsidRPr="00700A05">
              <w:rPr>
                <w:rFonts w:ascii="Arial Narrow" w:hAnsi="Arial Narrow"/>
                <w:b/>
              </w:rPr>
              <w:t>horas presenciales</w:t>
            </w:r>
          </w:p>
        </w:tc>
      </w:tr>
    </w:tbl>
    <w:p w:rsidR="00EF16F8" w:rsidRDefault="00EF16F8" w:rsidP="00EF16F8"/>
    <w:p w:rsidR="00EF16F8" w:rsidRDefault="00EF16F8" w:rsidP="00EF16F8"/>
    <w:p w:rsidR="00225A3A" w:rsidRDefault="00225A3A" w:rsidP="00EF16F8"/>
    <w:p w:rsidR="00225A3A" w:rsidRDefault="00225A3A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2453"/>
      </w:tblGrid>
      <w:tr w:rsidR="00EF16F8" w:rsidRPr="00D32CA6" w:rsidTr="0004408C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EF16F8" w:rsidRPr="00D32CA6" w:rsidRDefault="00EF16F8" w:rsidP="0004408C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EF16F8" w:rsidRPr="00D32CA6" w:rsidRDefault="00EF16F8" w:rsidP="0004408C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 xml:space="preserve">ACTIVIDADES </w:t>
            </w:r>
            <w:r>
              <w:rPr>
                <w:rFonts w:ascii="Arial" w:hAnsi="Arial"/>
                <w:b/>
                <w:sz w:val="20"/>
              </w:rPr>
              <w:t xml:space="preserve">DE TRABAJO AUTÓNOMO </w:t>
            </w:r>
            <w:r w:rsidRPr="00195047"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z w:val="20"/>
              </w:rPr>
              <w:t xml:space="preserve">LOS/AS </w:t>
            </w:r>
            <w:r w:rsidRPr="00195047">
              <w:rPr>
                <w:rFonts w:ascii="Arial" w:hAnsi="Arial"/>
                <w:b/>
                <w:sz w:val="20"/>
              </w:rPr>
              <w:t>ALUMNOS/AS</w:t>
            </w:r>
          </w:p>
        </w:tc>
      </w:tr>
      <w:tr w:rsidR="00EF16F8" w:rsidRPr="00D32CA6" w:rsidTr="0004408C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EF16F8" w:rsidRPr="0034198F" w:rsidRDefault="00EF16F8" w:rsidP="0004408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EF16F8" w:rsidRPr="00D32CA6" w:rsidTr="0004408C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BF199F" w:rsidRDefault="00EF16F8" w:rsidP="0004408C">
            <w:pPr>
              <w:spacing w:before="120"/>
              <w:rPr>
                <w:rFonts w:ascii="Arial" w:hAnsi="Arial"/>
                <w:sz w:val="20"/>
              </w:rPr>
            </w:pPr>
            <w:r w:rsidRPr="00195047">
              <w:rPr>
                <w:rFonts w:ascii="Arial" w:hAnsi="Arial"/>
                <w:sz w:val="20"/>
              </w:rPr>
              <w:t xml:space="preserve">Preparación de seminarios, </w:t>
            </w:r>
            <w:r>
              <w:rPr>
                <w:rFonts w:ascii="Arial" w:hAnsi="Arial"/>
                <w:sz w:val="20"/>
              </w:rPr>
              <w:t>lecturas, investigaciones, etc.</w:t>
            </w:r>
            <w:r w:rsidRPr="00195047">
              <w:rPr>
                <w:rFonts w:ascii="Arial" w:hAnsi="Arial"/>
                <w:sz w:val="20"/>
              </w:rPr>
              <w:t>, para exponer y entregar en las clases teóricas y prácticas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765DE2" w:rsidP="0004408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  <w:r w:rsidR="00EF16F8" w:rsidRPr="00221561">
              <w:rPr>
                <w:rFonts w:ascii="Arial Narrow" w:hAnsi="Arial Narrow"/>
                <w:b/>
              </w:rPr>
              <w:t xml:space="preserve"> horas</w:t>
            </w:r>
          </w:p>
        </w:tc>
      </w:tr>
      <w:tr w:rsidR="00EF16F8" w:rsidRPr="00D32CA6" w:rsidTr="0004408C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B44A85" w:rsidRDefault="00EF16F8" w:rsidP="0004408C">
            <w:pPr>
              <w:pStyle w:val="Textoindependiente2"/>
              <w:spacing w:before="120"/>
              <w:rPr>
                <w:rFonts w:cs="Arial"/>
                <w:color w:val="auto"/>
              </w:rPr>
            </w:pPr>
            <w:r w:rsidRPr="00B44A85">
              <w:rPr>
                <w:rFonts w:cs="Arial"/>
                <w:color w:val="auto"/>
              </w:rPr>
              <w:t>Preparación de trabajos finales para entregar a la conclusión del curso: trabajos de análisis y revisiones teóricas y de investigación en el campo de la comunicación (trabajos exploratorios, de recopilación de fuentes bibliográficas, estadísticas, históricas,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765DE2" w:rsidP="0004408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</w:t>
            </w:r>
            <w:r w:rsidR="00EF16F8" w:rsidRPr="00221561">
              <w:rPr>
                <w:rFonts w:ascii="Arial Narrow" w:hAnsi="Arial Narrow"/>
                <w:b/>
              </w:rPr>
              <w:t xml:space="preserve"> horas</w:t>
            </w:r>
          </w:p>
        </w:tc>
      </w:tr>
      <w:tr w:rsidR="00EF16F8" w:rsidRPr="00D32CA6" w:rsidTr="0004408C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" w:hAnsi="Arial"/>
                <w:sz w:val="20"/>
              </w:rPr>
              <w:t>A</w:t>
            </w:r>
            <w:r w:rsidRPr="00195047">
              <w:rPr>
                <w:rFonts w:ascii="Arial" w:hAnsi="Arial"/>
                <w:sz w:val="20"/>
              </w:rPr>
              <w:t>ctividades formativas alternativas relacionadas con la asignatura y de interés para la formación del estudiante. Asistencia a jornadas, congresos y conferencias,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765DE2" w:rsidP="0004408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EF16F8" w:rsidRPr="00221561">
              <w:rPr>
                <w:rFonts w:ascii="Arial Narrow" w:hAnsi="Arial Narrow"/>
                <w:b/>
              </w:rPr>
              <w:t xml:space="preserve"> horas</w:t>
            </w:r>
          </w:p>
        </w:tc>
      </w:tr>
      <w:tr w:rsidR="00EF16F8" w:rsidRPr="00D32CA6" w:rsidTr="0004408C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TOTAL DE HORAS DE TRABAJO AUTÓNOMO DE LOS ALUMNOS/AS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765DE2" w:rsidP="0004408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70</w:t>
            </w:r>
            <w:r w:rsidR="00EF16F8" w:rsidRPr="00221561">
              <w:rPr>
                <w:rFonts w:ascii="Arial Narrow" w:hAnsi="Arial Narrow"/>
                <w:b/>
              </w:rPr>
              <w:t xml:space="preserve"> horas de trabajo del alumno</w:t>
            </w:r>
          </w:p>
        </w:tc>
      </w:tr>
    </w:tbl>
    <w:p w:rsidR="00EF16F8" w:rsidRDefault="00EF16F8" w:rsidP="00EF16F8"/>
    <w:p w:rsidR="00EF16F8" w:rsidRDefault="00EF16F8" w:rsidP="00EF16F8">
      <w:pPr>
        <w:jc w:val="both"/>
        <w:rPr>
          <w:rFonts w:ascii="Arial Narrow" w:hAnsi="Arial Narrow" w:cs="Arial"/>
          <w:u w:val="single"/>
        </w:rPr>
      </w:pPr>
    </w:p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EVALUACIÓN (detallar % de la nota según las actividades)</w:t>
      </w:r>
    </w:p>
    <w:p w:rsidR="00EF16F8" w:rsidRDefault="00EF16F8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2761"/>
      </w:tblGrid>
      <w:tr w:rsidR="00EF16F8" w:rsidRPr="00D32CA6" w:rsidTr="0004408C">
        <w:trPr>
          <w:trHeight w:val="345"/>
        </w:trPr>
        <w:tc>
          <w:tcPr>
            <w:tcW w:w="3476" w:type="pct"/>
            <w:tcBorders>
              <w:top w:val="double" w:sz="4" w:space="0" w:color="auto"/>
              <w:right w:val="single" w:sz="4" w:space="0" w:color="auto"/>
            </w:tcBorders>
            <w:shd w:val="clear" w:color="auto" w:fill="CCECFF"/>
          </w:tcPr>
          <w:p w:rsidR="00EF16F8" w:rsidRPr="00D32CA6" w:rsidRDefault="00EF16F8" w:rsidP="0004408C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t>Actividades que serán evaluadas (ejemplos)</w:t>
            </w:r>
          </w:p>
        </w:tc>
        <w:tc>
          <w:tcPr>
            <w:tcW w:w="1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F16F8" w:rsidRPr="00D32CA6" w:rsidRDefault="00EF16F8" w:rsidP="0004408C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t>Calificación (% n</w:t>
            </w:r>
            <w:r w:rsidRPr="00D32CA6">
              <w:rPr>
                <w:rFonts w:ascii="Arial Narrow" w:hAnsi="Arial Narrow"/>
                <w:b/>
                <w:color w:val="000080"/>
              </w:rPr>
              <w:t>ota final)</w:t>
            </w:r>
          </w:p>
        </w:tc>
      </w:tr>
      <w:tr w:rsidR="00EF16F8" w:rsidRPr="00D32CA6" w:rsidTr="0004408C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Exposici</w:t>
            </w:r>
            <w:r>
              <w:rPr>
                <w:rFonts w:ascii="Arial Narrow" w:hAnsi="Arial Narrow" w:cs="Arial"/>
                <w:b/>
                <w:color w:val="000080"/>
              </w:rPr>
              <w:t>ones</w:t>
            </w:r>
            <w:r w:rsidRPr="00D32CA6">
              <w:rPr>
                <w:rFonts w:ascii="Arial Narrow" w:hAnsi="Arial Narrow" w:cs="Arial"/>
                <w:b/>
                <w:color w:val="000080"/>
              </w:rPr>
              <w:t xml:space="preserve"> oral</w:t>
            </w:r>
            <w:r>
              <w:rPr>
                <w:rFonts w:ascii="Arial Narrow" w:hAnsi="Arial Narrow" w:cs="Arial"/>
                <w:b/>
                <w:color w:val="000080"/>
              </w:rPr>
              <w:t>es</w:t>
            </w:r>
            <w:r w:rsidRPr="00D32CA6">
              <w:rPr>
                <w:rFonts w:ascii="Arial Narrow" w:hAnsi="Arial Narrow" w:cs="Arial"/>
                <w:b/>
                <w:color w:val="000080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D32CA6" w:rsidRDefault="00765DE2" w:rsidP="0004408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EF16F8">
              <w:rPr>
                <w:rFonts w:ascii="Arial Narrow" w:hAnsi="Arial Narrow"/>
              </w:rPr>
              <w:t>%</w:t>
            </w:r>
          </w:p>
        </w:tc>
      </w:tr>
      <w:tr w:rsidR="00EF16F8" w:rsidRPr="00D32CA6" w:rsidTr="0004408C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Asistencia y participación en las clases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D32CA6" w:rsidRDefault="00765DE2" w:rsidP="0004408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EF16F8">
              <w:rPr>
                <w:rFonts w:ascii="Arial Narrow" w:hAnsi="Arial Narrow"/>
              </w:rPr>
              <w:t>%</w:t>
            </w:r>
          </w:p>
        </w:tc>
      </w:tr>
      <w:tr w:rsidR="00EF16F8" w:rsidRPr="00D32CA6" w:rsidTr="0004408C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04408C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Trabajo individual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Default="00765DE2" w:rsidP="0004408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EF16F8">
              <w:rPr>
                <w:rFonts w:ascii="Arial Narrow" w:hAnsi="Arial Narrow"/>
              </w:rPr>
              <w:t>%</w:t>
            </w:r>
          </w:p>
        </w:tc>
      </w:tr>
      <w:tr w:rsidR="00EF16F8" w:rsidRPr="00D32CA6" w:rsidTr="0004408C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EF16F8" w:rsidRDefault="00EF16F8" w:rsidP="0004408C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Trabajo grupal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EF16F8" w:rsidRDefault="00765DE2" w:rsidP="0004408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bookmarkStart w:id="0" w:name="_GoBack"/>
            <w:bookmarkEnd w:id="0"/>
            <w:r w:rsidR="00EF16F8">
              <w:rPr>
                <w:rFonts w:ascii="Arial Narrow" w:hAnsi="Arial Narrow"/>
              </w:rPr>
              <w:t>0%</w:t>
            </w:r>
          </w:p>
        </w:tc>
      </w:tr>
    </w:tbl>
    <w:p w:rsidR="00EF16F8" w:rsidRPr="00B62949" w:rsidRDefault="00EF16F8" w:rsidP="00EF16F8">
      <w:pPr>
        <w:jc w:val="both"/>
      </w:pPr>
    </w:p>
    <w:p w:rsidR="006D174A" w:rsidRDefault="006D174A"/>
    <w:sectPr w:rsidR="006D174A" w:rsidSect="000440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8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D8" w:rsidRDefault="006D49D8">
      <w:r>
        <w:separator/>
      </w:r>
    </w:p>
  </w:endnote>
  <w:endnote w:type="continuationSeparator" w:id="0">
    <w:p w:rsidR="006D49D8" w:rsidRDefault="006D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B0" w:rsidRDefault="00AE72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B0" w:rsidRDefault="00AE72B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65DE2">
      <w:rPr>
        <w:noProof/>
      </w:rPr>
      <w:t>8</w:t>
    </w:r>
    <w:r>
      <w:fldChar w:fldCharType="end"/>
    </w:r>
  </w:p>
  <w:p w:rsidR="00AE72B0" w:rsidRDefault="00AE72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B0" w:rsidRDefault="00AE72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D8" w:rsidRDefault="006D49D8">
      <w:r>
        <w:separator/>
      </w:r>
    </w:p>
  </w:footnote>
  <w:footnote w:type="continuationSeparator" w:id="0">
    <w:p w:rsidR="006D49D8" w:rsidRDefault="006D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B0" w:rsidRDefault="00AE72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B0" w:rsidRDefault="00AE72B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B0" w:rsidRDefault="00AE72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BBF"/>
    <w:multiLevelType w:val="hybridMultilevel"/>
    <w:tmpl w:val="A9FCCB92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B1095"/>
    <w:multiLevelType w:val="hybridMultilevel"/>
    <w:tmpl w:val="BB8EC410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E05A53"/>
    <w:multiLevelType w:val="hybridMultilevel"/>
    <w:tmpl w:val="F416B57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60A6D"/>
    <w:multiLevelType w:val="hybridMultilevel"/>
    <w:tmpl w:val="44AABB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70F62"/>
    <w:multiLevelType w:val="hybridMultilevel"/>
    <w:tmpl w:val="CD608D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D0FE0"/>
    <w:multiLevelType w:val="hybridMultilevel"/>
    <w:tmpl w:val="392492A8"/>
    <w:lvl w:ilvl="0" w:tplc="8F84357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7A67120"/>
    <w:multiLevelType w:val="hybridMultilevel"/>
    <w:tmpl w:val="5D74C7AA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187D30C1"/>
    <w:multiLevelType w:val="hybridMultilevel"/>
    <w:tmpl w:val="2BDC03F0"/>
    <w:lvl w:ilvl="0" w:tplc="0C0A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>
    <w:nsid w:val="1AA863B1"/>
    <w:multiLevelType w:val="hybridMultilevel"/>
    <w:tmpl w:val="F6D29B10"/>
    <w:lvl w:ilvl="0" w:tplc="0C0A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C133640"/>
    <w:multiLevelType w:val="hybridMultilevel"/>
    <w:tmpl w:val="0C464F8A"/>
    <w:lvl w:ilvl="0" w:tplc="0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757073"/>
    <w:multiLevelType w:val="hybridMultilevel"/>
    <w:tmpl w:val="6B24A204"/>
    <w:lvl w:ilvl="0" w:tplc="399442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EE02D13"/>
    <w:multiLevelType w:val="hybridMultilevel"/>
    <w:tmpl w:val="6A7C91D4"/>
    <w:lvl w:ilvl="0" w:tplc="9EF826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F9D069C"/>
    <w:multiLevelType w:val="hybridMultilevel"/>
    <w:tmpl w:val="7082AB8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8C37C8"/>
    <w:multiLevelType w:val="hybridMultilevel"/>
    <w:tmpl w:val="499EA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31158"/>
    <w:multiLevelType w:val="hybridMultilevel"/>
    <w:tmpl w:val="3BE2A362"/>
    <w:lvl w:ilvl="0" w:tplc="0C0A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5">
    <w:nsid w:val="42947485"/>
    <w:multiLevelType w:val="hybridMultilevel"/>
    <w:tmpl w:val="DBECAA3C"/>
    <w:lvl w:ilvl="0" w:tplc="2E806E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56B810C9"/>
    <w:multiLevelType w:val="hybridMultilevel"/>
    <w:tmpl w:val="C854DCE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137AE"/>
    <w:multiLevelType w:val="hybridMultilevel"/>
    <w:tmpl w:val="6C845B68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923F67"/>
    <w:multiLevelType w:val="hybridMultilevel"/>
    <w:tmpl w:val="1D583B36"/>
    <w:lvl w:ilvl="0" w:tplc="0C0A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E45B8B"/>
    <w:multiLevelType w:val="hybridMultilevel"/>
    <w:tmpl w:val="2702C5E6"/>
    <w:lvl w:ilvl="0" w:tplc="4248203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685840E1"/>
    <w:multiLevelType w:val="hybridMultilevel"/>
    <w:tmpl w:val="8438CB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46D27"/>
    <w:multiLevelType w:val="hybridMultilevel"/>
    <w:tmpl w:val="69AC6700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DB4046"/>
    <w:multiLevelType w:val="hybridMultilevel"/>
    <w:tmpl w:val="DE8EB162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7F24FC"/>
    <w:multiLevelType w:val="hybridMultilevel"/>
    <w:tmpl w:val="0D84E6C0"/>
    <w:lvl w:ilvl="0" w:tplc="14EAD9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B15C5"/>
    <w:multiLevelType w:val="hybridMultilevel"/>
    <w:tmpl w:val="89A86406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6D1FAD"/>
    <w:multiLevelType w:val="hybridMultilevel"/>
    <w:tmpl w:val="03B0D97E"/>
    <w:lvl w:ilvl="0" w:tplc="6C1833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2ED4530"/>
    <w:multiLevelType w:val="hybridMultilevel"/>
    <w:tmpl w:val="3BFEDF38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CF34E02"/>
    <w:multiLevelType w:val="hybridMultilevel"/>
    <w:tmpl w:val="B93CAB34"/>
    <w:lvl w:ilvl="0" w:tplc="847AC4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10"/>
  </w:num>
  <w:num w:numId="8">
    <w:abstractNumId w:val="25"/>
  </w:num>
  <w:num w:numId="9">
    <w:abstractNumId w:val="15"/>
  </w:num>
  <w:num w:numId="10">
    <w:abstractNumId w:val="19"/>
  </w:num>
  <w:num w:numId="11">
    <w:abstractNumId w:val="5"/>
  </w:num>
  <w:num w:numId="12">
    <w:abstractNumId w:val="14"/>
  </w:num>
  <w:num w:numId="13">
    <w:abstractNumId w:val="7"/>
  </w:num>
  <w:num w:numId="14">
    <w:abstractNumId w:val="20"/>
  </w:num>
  <w:num w:numId="15">
    <w:abstractNumId w:val="4"/>
  </w:num>
  <w:num w:numId="16">
    <w:abstractNumId w:val="16"/>
  </w:num>
  <w:num w:numId="17">
    <w:abstractNumId w:val="17"/>
  </w:num>
  <w:num w:numId="18">
    <w:abstractNumId w:val="26"/>
  </w:num>
  <w:num w:numId="19">
    <w:abstractNumId w:val="1"/>
  </w:num>
  <w:num w:numId="20">
    <w:abstractNumId w:val="0"/>
  </w:num>
  <w:num w:numId="21">
    <w:abstractNumId w:val="24"/>
  </w:num>
  <w:num w:numId="22">
    <w:abstractNumId w:val="2"/>
  </w:num>
  <w:num w:numId="23">
    <w:abstractNumId w:val="21"/>
  </w:num>
  <w:num w:numId="24">
    <w:abstractNumId w:val="23"/>
  </w:num>
  <w:num w:numId="25">
    <w:abstractNumId w:val="22"/>
  </w:num>
  <w:num w:numId="26">
    <w:abstractNumId w:val="9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2D"/>
    <w:rsid w:val="0004408C"/>
    <w:rsid w:val="00045048"/>
    <w:rsid w:val="000F5E48"/>
    <w:rsid w:val="00163026"/>
    <w:rsid w:val="001B1AB9"/>
    <w:rsid w:val="00225A3A"/>
    <w:rsid w:val="002C0D0D"/>
    <w:rsid w:val="003269EA"/>
    <w:rsid w:val="00347360"/>
    <w:rsid w:val="003D4960"/>
    <w:rsid w:val="00422408"/>
    <w:rsid w:val="004D2849"/>
    <w:rsid w:val="0058163D"/>
    <w:rsid w:val="006D174A"/>
    <w:rsid w:val="006D49D8"/>
    <w:rsid w:val="006E0853"/>
    <w:rsid w:val="006F6333"/>
    <w:rsid w:val="00721CCC"/>
    <w:rsid w:val="007578E1"/>
    <w:rsid w:val="00765DE2"/>
    <w:rsid w:val="007B0E31"/>
    <w:rsid w:val="00831A5C"/>
    <w:rsid w:val="00846CF8"/>
    <w:rsid w:val="008724DA"/>
    <w:rsid w:val="008961CE"/>
    <w:rsid w:val="00900351"/>
    <w:rsid w:val="00990999"/>
    <w:rsid w:val="009A3B20"/>
    <w:rsid w:val="009E15BE"/>
    <w:rsid w:val="00A21D77"/>
    <w:rsid w:val="00A94C51"/>
    <w:rsid w:val="00AE72B0"/>
    <w:rsid w:val="00B16C68"/>
    <w:rsid w:val="00BB78E6"/>
    <w:rsid w:val="00C3668F"/>
    <w:rsid w:val="00CA592D"/>
    <w:rsid w:val="00CB572F"/>
    <w:rsid w:val="00D04B10"/>
    <w:rsid w:val="00DC673C"/>
    <w:rsid w:val="00EF16F8"/>
    <w:rsid w:val="00F4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0DC7-B66B-43A8-936B-F2040294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mbreAsignatura">
    <w:name w:val="NombreAsignatura"/>
    <w:rsid w:val="00EF16F8"/>
    <w:rPr>
      <w:rFonts w:ascii="Arial" w:eastAsia="Times New Roman" w:hAnsi="Arial" w:cs="Arial"/>
      <w:b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EF16F8"/>
    <w:rPr>
      <w:rFonts w:ascii="Arial" w:hAnsi="Arial"/>
      <w:bCs/>
      <w:color w:val="FF0000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F16F8"/>
    <w:rPr>
      <w:rFonts w:ascii="Arial" w:eastAsia="Times New Roman" w:hAnsi="Arial" w:cs="Times New Roman"/>
      <w:bCs/>
      <w:color w:val="FF0000"/>
      <w:sz w:val="20"/>
      <w:szCs w:val="20"/>
      <w:lang w:eastAsia="es-ES"/>
    </w:rPr>
  </w:style>
  <w:style w:type="paragraph" w:styleId="Prrafodelista">
    <w:name w:val="List Paragraph"/>
    <w:basedOn w:val="Normal"/>
    <w:uiPriority w:val="72"/>
    <w:qFormat/>
    <w:rsid w:val="00EF16F8"/>
    <w:pPr>
      <w:ind w:left="708"/>
    </w:pPr>
  </w:style>
  <w:style w:type="character" w:styleId="Hipervnculo">
    <w:name w:val="Hyperlink"/>
    <w:uiPriority w:val="99"/>
    <w:rsid w:val="00EF16F8"/>
    <w:rPr>
      <w:color w:val="0000FF"/>
      <w:u w:val="single"/>
    </w:rPr>
  </w:style>
  <w:style w:type="paragraph" w:styleId="Encabezado">
    <w:name w:val="header"/>
    <w:basedOn w:val="Normal"/>
    <w:link w:val="EncabezadoCar"/>
    <w:rsid w:val="00EF16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16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F16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F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jodetransparencia.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diego@ucm.e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e.es/biblioteca_juridica/codigos/abrir_pdf.php?fich=213_Codigo_de_Gobierno_Corporativo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epd.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ransparencia.gob.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1817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manuels</cp:lastModifiedBy>
  <cp:revision>6</cp:revision>
  <dcterms:created xsi:type="dcterms:W3CDTF">2019-09-20T10:33:00Z</dcterms:created>
  <dcterms:modified xsi:type="dcterms:W3CDTF">2019-10-25T13:54:00Z</dcterms:modified>
</cp:coreProperties>
</file>