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5" w:rsidRDefault="00B82642" w:rsidP="0053042B">
      <w:pPr>
        <w:jc w:val="center"/>
        <w:rPr>
          <w:b/>
          <w:caps/>
        </w:rPr>
      </w:pPr>
      <w:r>
        <w:rPr>
          <w:b/>
          <w:caps/>
        </w:rPr>
        <w:t>F</w:t>
      </w:r>
      <w:r w:rsidR="0053042B">
        <w:rPr>
          <w:b/>
          <w:caps/>
        </w:rPr>
        <w:t>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2E7DDE" w:rsidRDefault="00E35A2A" w:rsidP="008F3B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80"/>
              </w:rPr>
              <w:t>ORGANIZACIÓN DE LA PRODUCCIÓN ESTADÍSTICA OFICIAL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E35A2A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E35A2A" w:rsidRDefault="00E6229F" w:rsidP="00E35A2A">
            <w:pPr>
              <w:spacing w:before="240" w:line="240" w:lineRule="exact"/>
              <w:jc w:val="both"/>
              <w:rPr>
                <w:rFonts w:ascii="Arial" w:hAnsi="Arial"/>
                <w:highlight w:val="yellow"/>
              </w:rPr>
            </w:pPr>
            <w:r w:rsidRPr="00763CA0">
              <w:rPr>
                <w:rFonts w:ascii="Arial" w:hAnsi="Arial"/>
              </w:rPr>
              <w:t>OBLIGATORIA</w:t>
            </w:r>
            <w:r w:rsidRPr="00E35A2A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763CA0" w:rsidP="00863411">
            <w:pPr>
              <w:spacing w:before="120"/>
              <w:jc w:val="both"/>
              <w:rPr>
                <w:rFonts w:ascii="Arial" w:hAnsi="Arial"/>
                <w:b/>
              </w:rPr>
            </w:pPr>
            <w:r w:rsidRPr="00097902">
              <w:rPr>
                <w:rFonts w:ascii="Arial" w:hAnsi="Arial" w:cs="Arial"/>
              </w:rPr>
              <w:t>Alumnos que hayan cursado el primer curso del máster</w:t>
            </w:r>
            <w:r w:rsidR="00EA3E9A" w:rsidRPr="00097902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E35A2A" w:rsidP="0053042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53042B" w:rsidP="000E5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53042B" w:rsidP="001872B6">
            <w:pPr>
              <w:spacing w:before="120"/>
              <w:rPr>
                <w:rFonts w:ascii="Arial" w:hAnsi="Arial"/>
              </w:rPr>
            </w:pP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876512" w:rsidRPr="00D32CA6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0E5D45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53042B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2B04F5" w:rsidRDefault="002B04F5" w:rsidP="002B04F5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53042B" w:rsidRPr="00E35A2A" w:rsidRDefault="002B04F5" w:rsidP="002B04F5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Pr="00E35A2A" w:rsidRDefault="0053042B" w:rsidP="00427318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</w:p>
        </w:tc>
      </w:tr>
      <w:tr w:rsidR="000E5D45" w:rsidRPr="00D32CA6" w:rsidTr="00E35A2A">
        <w:trPr>
          <w:trHeight w:val="401"/>
        </w:trPr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0E5D45" w:rsidRPr="00876512" w:rsidRDefault="000E5D45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B04F5" w:rsidRDefault="002B04F5" w:rsidP="002B04F5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0E5D45" w:rsidRPr="00F23180" w:rsidRDefault="002B04F5" w:rsidP="002B04F5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3180" w:rsidRPr="00803F25" w:rsidRDefault="00F23180" w:rsidP="00803F25">
            <w:pPr>
              <w:jc w:val="center"/>
              <w:rPr>
                <w:rStyle w:val="NombreAsignatura"/>
                <w:b w:val="0"/>
                <w:sz w:val="24"/>
                <w:szCs w:val="24"/>
              </w:rPr>
            </w:pPr>
          </w:p>
        </w:tc>
      </w:tr>
    </w:tbl>
    <w:p w:rsidR="0053042B" w:rsidRPr="002E5396" w:rsidRDefault="0053042B" w:rsidP="0053042B"/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Pr="00542FCD" w:rsidRDefault="00C7327C" w:rsidP="00E35A2A">
      <w:pPr>
        <w:spacing w:after="240"/>
        <w:jc w:val="both"/>
        <w:rPr>
          <w:rFonts w:ascii="Arial" w:hAnsi="Arial" w:cs="Arial"/>
          <w:bCs/>
          <w:color w:val="000000"/>
        </w:rPr>
      </w:pPr>
      <w:r w:rsidRPr="00C7327C">
        <w:rPr>
          <w:rFonts w:ascii="Arial" w:hAnsi="Arial" w:cs="Arial"/>
          <w:bCs/>
          <w:color w:val="000000"/>
        </w:rPr>
        <w:t>El objetivo de la asignatura es proporcio</w:t>
      </w:r>
      <w:r>
        <w:rPr>
          <w:rFonts w:ascii="Arial" w:hAnsi="Arial" w:cs="Arial"/>
          <w:bCs/>
          <w:color w:val="000000"/>
        </w:rPr>
        <w:t xml:space="preserve">nar </w:t>
      </w:r>
      <w:r w:rsidR="00E35A2A" w:rsidRPr="00E35A2A">
        <w:rPr>
          <w:rFonts w:ascii="Arial" w:hAnsi="Arial" w:cs="Arial"/>
          <w:bCs/>
          <w:color w:val="000000"/>
        </w:rPr>
        <w:t>los conocimientos metodológicos básicos para la organización de la producción y la gestión de la calidad en una oficina de estadística pública.</w:t>
      </w:r>
      <w:r w:rsidR="0083105B" w:rsidRPr="0083105B">
        <w:rPr>
          <w:rFonts w:ascii="Arial" w:hAnsi="Arial" w:cs="Arial"/>
          <w:bCs/>
          <w:color w:val="000000"/>
        </w:rPr>
        <w:t xml:space="preserve"> </w:t>
      </w:r>
      <w:r w:rsidR="0083105B">
        <w:rPr>
          <w:rFonts w:ascii="Arial" w:hAnsi="Arial" w:cs="Arial"/>
          <w:bCs/>
          <w:color w:val="000000"/>
        </w:rPr>
        <w:t xml:space="preserve">En particular, se proporcionará </w:t>
      </w:r>
      <w:r w:rsidR="00E35A2A" w:rsidRPr="00E35A2A">
        <w:rPr>
          <w:rFonts w:ascii="Arial" w:hAnsi="Arial" w:cs="Arial"/>
          <w:bCs/>
          <w:color w:val="000000"/>
        </w:rPr>
        <w:t xml:space="preserve">el conocimiento de las directrices generales y estándares internacionales para la organización de la </w:t>
      </w:r>
      <w:r w:rsidR="00E35A2A" w:rsidRPr="00E35A2A">
        <w:rPr>
          <w:rFonts w:ascii="Arial" w:hAnsi="Arial" w:cs="Arial"/>
          <w:bCs/>
          <w:color w:val="000000"/>
        </w:rPr>
        <w:lastRenderedPageBreak/>
        <w:t>producción estadística oficial</w:t>
      </w:r>
      <w:r w:rsidR="00E35A2A">
        <w:rPr>
          <w:rFonts w:ascii="Arial" w:hAnsi="Arial" w:cs="Arial"/>
          <w:bCs/>
          <w:color w:val="000000"/>
        </w:rPr>
        <w:t xml:space="preserve"> así como</w:t>
      </w:r>
      <w:r w:rsidR="00E35A2A" w:rsidRPr="00E35A2A">
        <w:rPr>
          <w:rFonts w:ascii="Arial" w:hAnsi="Arial" w:cs="Arial"/>
          <w:bCs/>
          <w:color w:val="000000"/>
        </w:rPr>
        <w:t xml:space="preserve"> sobre la gestión de la calidad en el ámbito del Sistema Estadístico Europeo</w:t>
      </w:r>
      <w:r w:rsidR="0058087F">
        <w:rPr>
          <w:rFonts w:ascii="Arial" w:hAnsi="Arial" w:cs="Arial"/>
          <w:bCs/>
          <w:color w:val="000000"/>
        </w:rPr>
        <w:t>.</w:t>
      </w:r>
      <w:r w:rsidR="0083105B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COMPETENCIAS DE LA ASIGNATURA</w:t>
      </w:r>
    </w:p>
    <w:p w:rsidR="0053042B" w:rsidRDefault="0053042B" w:rsidP="001872B6">
      <w:pPr>
        <w:jc w:val="both"/>
      </w:pPr>
    </w:p>
    <w:p w:rsidR="008F3BDD" w:rsidRPr="001F5A68" w:rsidRDefault="008F3BDD" w:rsidP="001872B6">
      <w:p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L</w:t>
      </w:r>
      <w:r w:rsidR="001F5A68" w:rsidRPr="001F5A68">
        <w:rPr>
          <w:rFonts w:ascii="Arial" w:hAnsi="Arial" w:cs="Arial"/>
          <w:color w:val="000000"/>
        </w:rPr>
        <w:t xml:space="preserve">a asignatura permitirá a </w:t>
      </w:r>
      <w:r w:rsidRPr="001F5A68">
        <w:rPr>
          <w:rFonts w:ascii="Arial" w:hAnsi="Arial" w:cs="Arial"/>
          <w:color w:val="000000"/>
        </w:rPr>
        <w:t>los estudiantes</w:t>
      </w:r>
      <w:r w:rsidR="001F5A68" w:rsidRPr="001F5A68">
        <w:rPr>
          <w:rFonts w:ascii="Arial" w:hAnsi="Arial" w:cs="Arial"/>
          <w:color w:val="000000"/>
        </w:rPr>
        <w:t>:</w:t>
      </w:r>
    </w:p>
    <w:p w:rsidR="001F5A68" w:rsidRPr="00763CA0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Conocer los modelos, métodos y técnicas relevantes en distintas áreas de aplicación de la Estadística.</w:t>
      </w:r>
    </w:p>
    <w:p w:rsidR="001F5A68" w:rsidRPr="00763CA0" w:rsidRDefault="00763CA0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Integrar los conocimientos adecuados y enfrentarse a la complejidad de emitir juicios en función de criterios, de normas externas o de reflexiones personales justificadas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763CA0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Que los estudiantes sepan aplicar los conocimientos adquiridos y su capacidad de resolución de problemas en entornos nuevos o poco conocidos dentro de contextos más amplios (o multidisciplinares) relacionados con su área de estudio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763CA0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Que los estudiantes sepan comunicar sus conclusiones y los conocimientos y razones últimas que las sustentan a públicos especializados y no especializados de un modo claro y sin ambigüedades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8F3BDD" w:rsidP="00E201E2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</w:t>
      </w:r>
      <w:r w:rsidR="00DE6625" w:rsidRPr="00763CA0">
        <w:rPr>
          <w:rFonts w:ascii="Arial" w:hAnsi="Arial" w:cs="Arial"/>
        </w:rPr>
        <w:t>zadas, anuarios estadísticos, E</w:t>
      </w:r>
      <w:r w:rsidRPr="00763CA0">
        <w:rPr>
          <w:rFonts w:ascii="Arial" w:hAnsi="Arial" w:cs="Arial"/>
        </w:rPr>
        <w:t>t</w:t>
      </w:r>
      <w:r w:rsidR="00DE6625" w:rsidRPr="00763CA0">
        <w:rPr>
          <w:rFonts w:ascii="Arial" w:hAnsi="Arial" w:cs="Arial"/>
        </w:rPr>
        <w:t>c</w:t>
      </w:r>
      <w:r w:rsidRPr="00763CA0">
        <w:rPr>
          <w:rFonts w:ascii="Arial" w:hAnsi="Arial" w:cs="Arial"/>
        </w:rPr>
        <w:t>.).</w:t>
      </w:r>
    </w:p>
    <w:p w:rsidR="0053042B" w:rsidRPr="0009790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  <w:lang w:val="en-US"/>
        </w:rPr>
      </w:pPr>
      <w:r w:rsidRPr="00097902">
        <w:rPr>
          <w:rFonts w:ascii="Arial" w:hAnsi="Arial" w:cs="Arial"/>
          <w:b/>
          <w:color w:val="FFFFFF"/>
          <w:lang w:val="en-US"/>
        </w:rPr>
        <w:t>CONTENIDOS TEMÁTICOS</w:t>
      </w:r>
    </w:p>
    <w:p w:rsidR="002B04F5" w:rsidRDefault="002B04F5" w:rsidP="00E35A2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 0: Introduction to Official Statistical Production</w:t>
      </w:r>
    </w:p>
    <w:p w:rsidR="002B04F5" w:rsidRDefault="002B04F5" w:rsidP="00E35A2A">
      <w:pPr>
        <w:rPr>
          <w:rFonts w:ascii="Arial" w:hAnsi="Arial" w:cs="Arial"/>
          <w:b/>
          <w:lang w:val="en-US"/>
        </w:rPr>
      </w:pPr>
    </w:p>
    <w:p w:rsidR="00E35A2A" w:rsidRPr="00097902" w:rsidRDefault="00E35A2A" w:rsidP="00E35A2A">
      <w:pPr>
        <w:rPr>
          <w:rFonts w:ascii="Arial" w:hAnsi="Arial" w:cs="Arial"/>
          <w:b/>
          <w:lang w:val="en-US"/>
        </w:rPr>
      </w:pPr>
      <w:r w:rsidRPr="00097902">
        <w:rPr>
          <w:rFonts w:ascii="Arial" w:hAnsi="Arial" w:cs="Arial"/>
          <w:b/>
          <w:lang w:val="en-US"/>
        </w:rPr>
        <w:t>PART I: Official Statistical Production Standards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Generic Statistical Business Process Model (GSBPM)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Generic Statistical Information Model (GSIM)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Common Statistical Production Architecture (CSPA)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Statistical metadata and classifications</w:t>
      </w:r>
    </w:p>
    <w:p w:rsidR="00E35A2A" w:rsidRPr="000F1E62" w:rsidRDefault="00E35A2A" w:rsidP="00E35A2A">
      <w:pPr>
        <w:pStyle w:val="Listavistosa-nfasis11"/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  <w:lang w:val="en-US"/>
        </w:rPr>
      </w:pPr>
    </w:p>
    <w:p w:rsidR="00E35A2A" w:rsidRPr="00E35A2A" w:rsidRDefault="00E35A2A" w:rsidP="00E35A2A">
      <w:pPr>
        <w:rPr>
          <w:rFonts w:ascii="Arial" w:hAnsi="Arial" w:cs="Arial"/>
          <w:b/>
        </w:rPr>
      </w:pPr>
    </w:p>
    <w:p w:rsidR="00E35A2A" w:rsidRPr="00E35A2A" w:rsidRDefault="00E35A2A" w:rsidP="00E35A2A">
      <w:pPr>
        <w:rPr>
          <w:rFonts w:ascii="Arial" w:hAnsi="Arial" w:cs="Arial"/>
          <w:b/>
        </w:rPr>
      </w:pPr>
      <w:r w:rsidRPr="00E35A2A">
        <w:rPr>
          <w:rFonts w:ascii="Arial" w:hAnsi="Arial" w:cs="Arial"/>
          <w:b/>
        </w:rPr>
        <w:t>PART II: Quality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European Statistics Code of Practice.</w:t>
      </w:r>
    </w:p>
    <w:p w:rsidR="00E35A2A" w:rsidRPr="00763CA0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 xml:space="preserve">The Quality Assurance Framework for European Statistical System. 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35A2A">
        <w:rPr>
          <w:rFonts w:ascii="Arial" w:hAnsi="Arial" w:cs="Arial"/>
          <w:lang w:val="en-US"/>
        </w:rPr>
        <w:t>Evaluation and monitoring.</w:t>
      </w:r>
    </w:p>
    <w:p w:rsidR="00E35A2A" w:rsidRDefault="00E35A2A" w:rsidP="00EB27E3">
      <w:pPr>
        <w:rPr>
          <w:rFonts w:ascii="Arial" w:hAnsi="Arial" w:cs="Arial"/>
          <w:b/>
        </w:rPr>
      </w:pPr>
    </w:p>
    <w:p w:rsidR="0053042B" w:rsidRPr="00E201E2" w:rsidRDefault="00542FCD" w:rsidP="00542F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0902" w:rsidRPr="00E201E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MATERIAL BIBLIOGRÁFICO Y OTROS RECURSOS DIDÁCTICOS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 w:rsidTr="008060B4">
        <w:trPr>
          <w:trHeight w:val="688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Pr="00763CA0" w:rsidRDefault="00186BE7" w:rsidP="00186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763CA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UNECE (2013), Generic Statistical Business Process Model. Version 5.0 – December 2013. 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UNECE (2013), Generic Statistical Information Model. Version 1.1 – December 2013. 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color w:val="1A1A1A"/>
                <w:lang w:val="en-US"/>
              </w:rPr>
              <w:t xml:space="preserve">UNECE (2015). Common Statistical Production Architecture. </w:t>
            </w:r>
            <w:r w:rsidRPr="00E35A2A">
              <w:rPr>
                <w:rFonts w:ascii="Arial" w:hAnsi="Arial" w:cs="Arial"/>
                <w:lang w:val="en-US"/>
              </w:rPr>
              <w:t>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Pr="00E35A2A" w:rsidRDefault="00E35A2A" w:rsidP="00E35A2A">
            <w:pPr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Eurostat (2011), European Statistics Code of Practice for the National and Community Statistical Authorities. Luxembourg. 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Eurostat (2015), Quality Assurance Framework of the European Statistical System (ESS QAF), version 1.2.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Default="00E35A2A" w:rsidP="00E35A2A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Eurostat (2014). Memobust Handbook on Methodology of Modern Business Statistics. Eurostat.</w:t>
            </w:r>
          </w:p>
          <w:p w:rsidR="00D95DD3" w:rsidRPr="00010398" w:rsidRDefault="00D95DD3" w:rsidP="00010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E35A2A" w:rsidTr="00E35A2A">
        <w:trPr>
          <w:trHeight w:val="352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Default="00010398" w:rsidP="00F216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 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Biemer P. P. (2010), Total Survey Error. Design, Implementation and Evaluation.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 xml:space="preserve">Public Opinion Quarterly </w:t>
            </w:r>
            <w:r w:rsidRPr="00E35A2A">
              <w:rPr>
                <w:rFonts w:ascii="Arial" w:hAnsi="Arial" w:cs="Arial"/>
                <w:b/>
                <w:bCs/>
                <w:lang w:val="en-US"/>
              </w:rPr>
              <w:t>74</w:t>
            </w:r>
            <w:r w:rsidRPr="00E35A2A">
              <w:rPr>
                <w:rFonts w:ascii="Arial" w:hAnsi="Arial" w:cs="Arial"/>
                <w:lang w:val="en-US"/>
              </w:rPr>
              <w:t>, 817–848.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Eurostat (2013),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>ESS Handbook for Quality Reports</w:t>
            </w:r>
            <w:r w:rsidRPr="00E35A2A">
              <w:rPr>
                <w:rFonts w:ascii="Arial" w:hAnsi="Arial" w:cs="Arial"/>
                <w:lang w:val="en-US"/>
              </w:rPr>
              <w:t>. Methodologies and Working papers, European Commission.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P.P. Biemer and L.E. Lyberg (2003). Introduction to survey quality. Wiley.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United Nations (2003),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>Managing Data Quality in a Statistical Agency</w:t>
            </w:r>
            <w:r w:rsidRPr="00E35A2A">
              <w:rPr>
                <w:rFonts w:ascii="Arial" w:hAnsi="Arial" w:cs="Arial"/>
                <w:lang w:val="en-US"/>
              </w:rPr>
              <w:t>. LC/ L.1891 (CEA.2003/6).</w:t>
            </w:r>
          </w:p>
          <w:p w:rsidR="0053042B" w:rsidRPr="00010398" w:rsidRDefault="0053042B" w:rsidP="0001039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 w:rsidTr="00240949">
        <w:trPr>
          <w:trHeight w:val="601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Default="00E35A2A" w:rsidP="00E35A2A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</w:p>
          <w:p w:rsidR="00E35A2A" w:rsidRPr="00E35A2A" w:rsidRDefault="00E35A2A" w:rsidP="00E35A2A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Los estudiantes dispondrán desde el primer día de clase de los siguientes materiales:</w:t>
            </w:r>
          </w:p>
          <w:p w:rsidR="00E35A2A" w:rsidRPr="00E35A2A" w:rsidRDefault="00E35A2A" w:rsidP="00E35A2A">
            <w:pPr>
              <w:pStyle w:val="Listavistosa-nfasis1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Transparencias que se usarán en clase sobre los diversos temas.</w:t>
            </w:r>
          </w:p>
          <w:p w:rsidR="00E35A2A" w:rsidRPr="00E35A2A" w:rsidRDefault="00E35A2A" w:rsidP="00E35A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Toda la bibliografía de acceso abierto recomendada disponible en la web.</w:t>
            </w:r>
          </w:p>
          <w:p w:rsidR="00D95DD3" w:rsidRPr="00075735" w:rsidRDefault="00D95DD3" w:rsidP="00075735">
            <w:pPr>
              <w:spacing w:after="240" w:line="240" w:lineRule="exact"/>
              <w:ind w:left="360"/>
              <w:rPr>
                <w:rFonts w:ascii="Arial" w:hAnsi="Arial" w:cs="Arial"/>
              </w:rPr>
            </w:pPr>
          </w:p>
        </w:tc>
      </w:tr>
    </w:tbl>
    <w:p w:rsidR="00542FCD" w:rsidRDefault="00542FCD" w:rsidP="0053042B">
      <w:pPr>
        <w:jc w:val="both"/>
        <w:rPr>
          <w:rFonts w:ascii="Arial Narrow" w:hAnsi="Arial Narrow" w:cs="Arial"/>
          <w:u w:val="single"/>
        </w:rPr>
      </w:pPr>
    </w:p>
    <w:p w:rsidR="0053042B" w:rsidRDefault="00542FCD" w:rsidP="00542FC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13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13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 xml:space="preserve">2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2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E35A2A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30</w:t>
            </w:r>
          </w:p>
        </w:tc>
      </w:tr>
    </w:tbl>
    <w:p w:rsidR="0053042B" w:rsidRPr="00763CA0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763CA0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763CA0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763CA0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763CA0">
              <w:rPr>
                <w:rFonts w:ascii="Arial" w:hAnsi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763CA0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763CA0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763CA0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763CA0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/>
              <w:rPr>
                <w:rFonts w:ascii="Arial" w:hAnsi="Arial"/>
                <w:sz w:val="20"/>
              </w:rPr>
            </w:pPr>
            <w:r w:rsidRPr="00763CA0">
              <w:rPr>
                <w:rFonts w:ascii="Arial" w:hAnsi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30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763CA0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36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" w:hAnsi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4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E56818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70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763CA0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763CA0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763CA0"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Pr="00763CA0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763CA0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763CA0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763CA0"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763CA0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763CA0">
              <w:rPr>
                <w:rFonts w:ascii="Arial Narrow" w:hAnsi="Arial Narrow"/>
                <w:b/>
                <w:color w:val="000080"/>
              </w:rPr>
              <w:t>Calificación (% nota final)</w:t>
            </w:r>
          </w:p>
        </w:tc>
      </w:tr>
      <w:tr w:rsidR="0053042B" w:rsidRPr="00763CA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763CA0" w:rsidRDefault="00122BED" w:rsidP="00122BED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Resolución de casos prácticos propuestos por el profesor</w:t>
            </w:r>
            <w:r w:rsidR="0053042B" w:rsidRPr="00763CA0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63CA0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 w:rsidRPr="00763CA0">
              <w:rPr>
                <w:rFonts w:ascii="Arial Narrow" w:hAnsi="Arial Narrow"/>
              </w:rPr>
              <w:t>3</w:t>
            </w:r>
            <w:r w:rsidR="00122BED" w:rsidRPr="00763CA0">
              <w:rPr>
                <w:rFonts w:ascii="Arial Narrow" w:hAnsi="Arial Narrow"/>
              </w:rPr>
              <w:t>0%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763CA0" w:rsidRDefault="00122BED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Examen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763CA0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 w:rsidRPr="00763CA0">
              <w:rPr>
                <w:rFonts w:ascii="Arial Narrow" w:hAnsi="Arial Narrow"/>
              </w:rPr>
              <w:t>7</w:t>
            </w:r>
            <w:r w:rsidR="00122BED" w:rsidRPr="00763CA0">
              <w:rPr>
                <w:rFonts w:ascii="Arial Narrow" w:hAnsi="Arial Narrow"/>
              </w:rPr>
              <w:t>0%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headerReference w:type="default" r:id="rId7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FB" w:rsidRDefault="001972FB">
      <w:r>
        <w:separator/>
      </w:r>
    </w:p>
  </w:endnote>
  <w:endnote w:type="continuationSeparator" w:id="0">
    <w:p w:rsidR="001972FB" w:rsidRDefault="0019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FB" w:rsidRDefault="001972FB">
      <w:r>
        <w:separator/>
      </w:r>
    </w:p>
  </w:footnote>
  <w:footnote w:type="continuationSeparator" w:id="0">
    <w:p w:rsidR="001972FB" w:rsidRDefault="0019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147237"/>
      <w:docPartObj>
        <w:docPartGallery w:val="Page Numbers (Top of Page)"/>
        <w:docPartUnique/>
      </w:docPartObj>
    </w:sdtPr>
    <w:sdtEndPr/>
    <w:sdtContent>
      <w:p w:rsidR="00542FCD" w:rsidRDefault="00953B54">
        <w:pPr>
          <w:pStyle w:val="Encabezado"/>
          <w:jc w:val="right"/>
        </w:pPr>
        <w:r>
          <w:fldChar w:fldCharType="begin"/>
        </w:r>
        <w:r w:rsidR="0085435B">
          <w:instrText xml:space="preserve"> PAGE   \* MERGEFORMAT </w:instrText>
        </w:r>
        <w:r>
          <w:fldChar w:fldCharType="separate"/>
        </w:r>
        <w:r w:rsidR="003F5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FCD" w:rsidRDefault="00542F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9BA"/>
    <w:multiLevelType w:val="hybridMultilevel"/>
    <w:tmpl w:val="6D9A1B9E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79C"/>
    <w:multiLevelType w:val="hybridMultilevel"/>
    <w:tmpl w:val="3068609A"/>
    <w:lvl w:ilvl="0" w:tplc="840C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292B"/>
    <w:multiLevelType w:val="hybridMultilevel"/>
    <w:tmpl w:val="D360BDE0"/>
    <w:lvl w:ilvl="0" w:tplc="C0EE14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24E7"/>
    <w:multiLevelType w:val="multilevel"/>
    <w:tmpl w:val="9874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0073E1"/>
    <w:multiLevelType w:val="multilevel"/>
    <w:tmpl w:val="D992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10398"/>
    <w:rsid w:val="00075735"/>
    <w:rsid w:val="000764E5"/>
    <w:rsid w:val="00097902"/>
    <w:rsid w:val="000A2705"/>
    <w:rsid w:val="000D0695"/>
    <w:rsid w:val="000E5AF2"/>
    <w:rsid w:val="000E5D45"/>
    <w:rsid w:val="00114FBE"/>
    <w:rsid w:val="00122BED"/>
    <w:rsid w:val="00130B65"/>
    <w:rsid w:val="00132EE8"/>
    <w:rsid w:val="0013574B"/>
    <w:rsid w:val="00167D4F"/>
    <w:rsid w:val="00176074"/>
    <w:rsid w:val="00186BE7"/>
    <w:rsid w:val="001872B6"/>
    <w:rsid w:val="001972FB"/>
    <w:rsid w:val="001F5A68"/>
    <w:rsid w:val="00216AFD"/>
    <w:rsid w:val="002209CD"/>
    <w:rsid w:val="0023332E"/>
    <w:rsid w:val="00240949"/>
    <w:rsid w:val="002A3E1E"/>
    <w:rsid w:val="002B04F5"/>
    <w:rsid w:val="002E7DDE"/>
    <w:rsid w:val="00311954"/>
    <w:rsid w:val="00314489"/>
    <w:rsid w:val="00345B9A"/>
    <w:rsid w:val="00350375"/>
    <w:rsid w:val="00376811"/>
    <w:rsid w:val="003906B6"/>
    <w:rsid w:val="003C34DE"/>
    <w:rsid w:val="003C4705"/>
    <w:rsid w:val="003D2D21"/>
    <w:rsid w:val="003D3995"/>
    <w:rsid w:val="003E24B8"/>
    <w:rsid w:val="003F096C"/>
    <w:rsid w:val="003F5886"/>
    <w:rsid w:val="003F5D79"/>
    <w:rsid w:val="0040669F"/>
    <w:rsid w:val="00417534"/>
    <w:rsid w:val="004220E0"/>
    <w:rsid w:val="00427318"/>
    <w:rsid w:val="004644E6"/>
    <w:rsid w:val="004750BE"/>
    <w:rsid w:val="004B4A87"/>
    <w:rsid w:val="004C0632"/>
    <w:rsid w:val="004F6E33"/>
    <w:rsid w:val="00502763"/>
    <w:rsid w:val="0053042B"/>
    <w:rsid w:val="00535E45"/>
    <w:rsid w:val="00541DC9"/>
    <w:rsid w:val="00542FCD"/>
    <w:rsid w:val="005558EF"/>
    <w:rsid w:val="00565CE4"/>
    <w:rsid w:val="0058087F"/>
    <w:rsid w:val="005978EE"/>
    <w:rsid w:val="005B20B1"/>
    <w:rsid w:val="005E5760"/>
    <w:rsid w:val="005F10CA"/>
    <w:rsid w:val="00614263"/>
    <w:rsid w:val="00621161"/>
    <w:rsid w:val="0062261C"/>
    <w:rsid w:val="00633182"/>
    <w:rsid w:val="00683455"/>
    <w:rsid w:val="00697FAA"/>
    <w:rsid w:val="006D3166"/>
    <w:rsid w:val="006F535B"/>
    <w:rsid w:val="006F6097"/>
    <w:rsid w:val="00711A63"/>
    <w:rsid w:val="00715DE4"/>
    <w:rsid w:val="00742895"/>
    <w:rsid w:val="0075389D"/>
    <w:rsid w:val="00756EEE"/>
    <w:rsid w:val="00763CA0"/>
    <w:rsid w:val="00785EFC"/>
    <w:rsid w:val="00794D8E"/>
    <w:rsid w:val="00796B07"/>
    <w:rsid w:val="007C2EDA"/>
    <w:rsid w:val="007D33AB"/>
    <w:rsid w:val="00803F25"/>
    <w:rsid w:val="00805246"/>
    <w:rsid w:val="008060B4"/>
    <w:rsid w:val="0083105B"/>
    <w:rsid w:val="008420DB"/>
    <w:rsid w:val="008500AC"/>
    <w:rsid w:val="0085435B"/>
    <w:rsid w:val="00863411"/>
    <w:rsid w:val="0086587C"/>
    <w:rsid w:val="00876512"/>
    <w:rsid w:val="0088734C"/>
    <w:rsid w:val="008B5AEC"/>
    <w:rsid w:val="008C6D10"/>
    <w:rsid w:val="008D2C28"/>
    <w:rsid w:val="008D7EFA"/>
    <w:rsid w:val="008F3BDD"/>
    <w:rsid w:val="009441AE"/>
    <w:rsid w:val="00946FD6"/>
    <w:rsid w:val="00953B54"/>
    <w:rsid w:val="00973CBC"/>
    <w:rsid w:val="0099347A"/>
    <w:rsid w:val="009A0DB4"/>
    <w:rsid w:val="009A2F80"/>
    <w:rsid w:val="009B375F"/>
    <w:rsid w:val="00A528DF"/>
    <w:rsid w:val="00A72D82"/>
    <w:rsid w:val="00A82BFB"/>
    <w:rsid w:val="00AC2B53"/>
    <w:rsid w:val="00AE33BA"/>
    <w:rsid w:val="00AF145A"/>
    <w:rsid w:val="00B064B4"/>
    <w:rsid w:val="00B3245E"/>
    <w:rsid w:val="00B34C2D"/>
    <w:rsid w:val="00B44A85"/>
    <w:rsid w:val="00B50077"/>
    <w:rsid w:val="00B752CC"/>
    <w:rsid w:val="00B77A90"/>
    <w:rsid w:val="00B822F8"/>
    <w:rsid w:val="00B82642"/>
    <w:rsid w:val="00B85635"/>
    <w:rsid w:val="00BA22C9"/>
    <w:rsid w:val="00BD713F"/>
    <w:rsid w:val="00BE1E29"/>
    <w:rsid w:val="00C15B0F"/>
    <w:rsid w:val="00C17438"/>
    <w:rsid w:val="00C677CF"/>
    <w:rsid w:val="00C7327C"/>
    <w:rsid w:val="00C755EB"/>
    <w:rsid w:val="00C97B60"/>
    <w:rsid w:val="00CA6A03"/>
    <w:rsid w:val="00CC712C"/>
    <w:rsid w:val="00CF2723"/>
    <w:rsid w:val="00CF570D"/>
    <w:rsid w:val="00D06DCE"/>
    <w:rsid w:val="00D079DA"/>
    <w:rsid w:val="00D110B0"/>
    <w:rsid w:val="00D21FA1"/>
    <w:rsid w:val="00D30202"/>
    <w:rsid w:val="00D312E2"/>
    <w:rsid w:val="00D334E3"/>
    <w:rsid w:val="00D64FD1"/>
    <w:rsid w:val="00D6656C"/>
    <w:rsid w:val="00D87A2B"/>
    <w:rsid w:val="00D948E9"/>
    <w:rsid w:val="00D95DD3"/>
    <w:rsid w:val="00DA26E2"/>
    <w:rsid w:val="00DD0902"/>
    <w:rsid w:val="00DE6625"/>
    <w:rsid w:val="00DE6A9A"/>
    <w:rsid w:val="00E032F3"/>
    <w:rsid w:val="00E201E2"/>
    <w:rsid w:val="00E345F2"/>
    <w:rsid w:val="00E35A2A"/>
    <w:rsid w:val="00E36A00"/>
    <w:rsid w:val="00E37E60"/>
    <w:rsid w:val="00E56818"/>
    <w:rsid w:val="00E60508"/>
    <w:rsid w:val="00E6229F"/>
    <w:rsid w:val="00E76EB9"/>
    <w:rsid w:val="00E86ABC"/>
    <w:rsid w:val="00E974E2"/>
    <w:rsid w:val="00EA2B8B"/>
    <w:rsid w:val="00EA3E9A"/>
    <w:rsid w:val="00EB27E3"/>
    <w:rsid w:val="00ED4D64"/>
    <w:rsid w:val="00EE6CDF"/>
    <w:rsid w:val="00F0618A"/>
    <w:rsid w:val="00F21683"/>
    <w:rsid w:val="00F23180"/>
    <w:rsid w:val="00F8099C"/>
    <w:rsid w:val="00F81C02"/>
    <w:rsid w:val="00FA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1E2EF-5F4A-4B0E-BCAF-1EE1445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34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3180"/>
    <w:rPr>
      <w:color w:val="0000FF"/>
      <w:u w:val="single"/>
    </w:rPr>
  </w:style>
  <w:style w:type="paragraph" w:customStyle="1" w:styleId="Apartes">
    <w:name w:val="Apartes"/>
    <w:basedOn w:val="Normal"/>
    <w:rsid w:val="00E201E2"/>
    <w:pPr>
      <w:spacing w:before="480"/>
      <w:ind w:left="1843" w:hanging="1843"/>
      <w:jc w:val="both"/>
    </w:pPr>
    <w:rPr>
      <w:rFonts w:ascii="Tahoma" w:eastAsia="Times" w:hAnsi="Tahoma" w:cs="FilosofiaGrandCaps"/>
      <w:b/>
      <w:caps/>
      <w:szCs w:val="20"/>
      <w:lang w:val="es-ES_tradnl"/>
    </w:rPr>
  </w:style>
  <w:style w:type="paragraph" w:customStyle="1" w:styleId="btemas">
    <w:name w:val="btemas"/>
    <w:basedOn w:val="Ttulo1"/>
    <w:rsid w:val="00E201E2"/>
    <w:pPr>
      <w:keepLines w:val="0"/>
      <w:spacing w:before="360" w:after="240"/>
      <w:ind w:left="1418" w:hanging="1418"/>
      <w:jc w:val="both"/>
    </w:pPr>
    <w:rPr>
      <w:rFonts w:ascii="Tahoma" w:eastAsia="Times" w:hAnsi="Tahoma" w:cs="FilosofiaGrandCaps"/>
      <w:bCs w:val="0"/>
      <w:color w:val="auto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2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0764E5"/>
    <w:pPr>
      <w:spacing w:after="120"/>
    </w:pPr>
    <w:rPr>
      <w:rFonts w:ascii="Tahoma" w:eastAsia="Times" w:hAnsi="Tahom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64E5"/>
    <w:rPr>
      <w:rFonts w:ascii="Tahoma" w:eastAsia="Times" w:hAnsi="Tahoma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34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4C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CD"/>
    <w:rPr>
      <w:sz w:val="24"/>
      <w:szCs w:val="24"/>
    </w:rPr>
  </w:style>
  <w:style w:type="paragraph" w:styleId="Piedepgina">
    <w:name w:val="footer"/>
    <w:basedOn w:val="Normal"/>
    <w:link w:val="PiedepginaCar"/>
    <w:semiHidden/>
    <w:unhideWhenUsed/>
    <w:rsid w:val="0054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42FCD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72"/>
    <w:qFormat/>
    <w:rsid w:val="00E35A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José Manuel Robles</cp:lastModifiedBy>
  <cp:revision>2</cp:revision>
  <cp:lastPrinted>2016-09-08T06:29:00Z</cp:lastPrinted>
  <dcterms:created xsi:type="dcterms:W3CDTF">2017-07-17T19:40:00Z</dcterms:created>
  <dcterms:modified xsi:type="dcterms:W3CDTF">2017-07-17T19:40:00Z</dcterms:modified>
</cp:coreProperties>
</file>