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A0" w:rsidRDefault="00024CA0"/>
    <w:p w:rsidR="002E59DB" w:rsidRDefault="002E59DB"/>
    <w:p w:rsidR="002E59DB" w:rsidRDefault="002E59DB" w:rsidP="002E59DB"/>
    <w:p w:rsidR="002E59DB" w:rsidRDefault="002E59DB" w:rsidP="002E59DB"/>
    <w:p w:rsidR="002E59DB" w:rsidRDefault="002E59DB" w:rsidP="002E59DB">
      <w:pPr>
        <w:jc w:val="center"/>
        <w:rPr>
          <w:sz w:val="40"/>
          <w:szCs w:val="40"/>
        </w:rPr>
      </w:pPr>
      <w:r w:rsidRPr="002E59DB">
        <w:rPr>
          <w:b/>
          <w:sz w:val="40"/>
          <w:szCs w:val="40"/>
        </w:rPr>
        <w:t xml:space="preserve">PLANIFICACIÓN, CALIDAD DE PROGRAMAS, PROYECTOS Y SERVICIOS SOCIALES </w:t>
      </w:r>
    </w:p>
    <w:p w:rsidR="002E59DB" w:rsidRDefault="002E59DB" w:rsidP="002E59DB">
      <w:pPr>
        <w:rPr>
          <w:sz w:val="40"/>
          <w:szCs w:val="40"/>
        </w:rPr>
      </w:pPr>
    </w:p>
    <w:p w:rsidR="002E59DB" w:rsidRDefault="002E59DB" w:rsidP="002E59DB"/>
    <w:tbl>
      <w:tblPr>
        <w:tblStyle w:val="Tablaconcuadrcula"/>
        <w:tblW w:w="0" w:type="auto"/>
        <w:tblLook w:val="04A0"/>
      </w:tblPr>
      <w:tblGrid>
        <w:gridCol w:w="8644"/>
      </w:tblGrid>
      <w:tr w:rsidR="002E59DB" w:rsidTr="002E59DB">
        <w:tc>
          <w:tcPr>
            <w:tcW w:w="8644" w:type="dxa"/>
            <w:tcBorders>
              <w:top w:val="single" w:sz="4" w:space="0" w:color="auto"/>
              <w:left w:val="single" w:sz="4" w:space="0" w:color="auto"/>
              <w:bottom w:val="single" w:sz="4" w:space="0" w:color="auto"/>
              <w:right w:val="single" w:sz="4" w:space="0" w:color="auto"/>
            </w:tcBorders>
          </w:tcPr>
          <w:p w:rsidR="002E59DB" w:rsidRDefault="002E59DB">
            <w:pPr>
              <w:rPr>
                <w:lang w:eastAsia="en-US"/>
              </w:rPr>
            </w:pPr>
            <w:r>
              <w:rPr>
                <w:b/>
                <w:lang w:eastAsia="en-US"/>
              </w:rPr>
              <w:t>MÓDULO 2</w:t>
            </w:r>
            <w:r>
              <w:rPr>
                <w:lang w:eastAsia="en-US"/>
              </w:rPr>
              <w:t>:</w:t>
            </w:r>
            <w:r>
              <w:rPr>
                <w:lang w:eastAsia="en-US"/>
              </w:rPr>
              <w:tab/>
              <w:t>DESARROLLO COMUNITARIO Y ADMINISTRACIÓN SOCIAL</w:t>
            </w:r>
          </w:p>
          <w:p w:rsidR="002E59DB" w:rsidRDefault="002E59DB">
            <w:pPr>
              <w:rPr>
                <w:lang w:eastAsia="en-US"/>
              </w:rPr>
            </w:pPr>
          </w:p>
        </w:tc>
      </w:tr>
      <w:tr w:rsidR="002E59DB" w:rsidTr="002E59DB">
        <w:tc>
          <w:tcPr>
            <w:tcW w:w="8644" w:type="dxa"/>
            <w:tcBorders>
              <w:top w:val="single" w:sz="4" w:space="0" w:color="auto"/>
              <w:left w:val="single" w:sz="4" w:space="0" w:color="auto"/>
              <w:bottom w:val="single" w:sz="4" w:space="0" w:color="auto"/>
              <w:right w:val="single" w:sz="4" w:space="0" w:color="auto"/>
            </w:tcBorders>
          </w:tcPr>
          <w:p w:rsidR="002E59DB" w:rsidRDefault="002E59DB">
            <w:pPr>
              <w:rPr>
                <w:lang w:eastAsia="en-US"/>
              </w:rPr>
            </w:pPr>
            <w:r>
              <w:rPr>
                <w:b/>
                <w:lang w:eastAsia="en-US"/>
              </w:rPr>
              <w:t>MATERIA 2.2.</w:t>
            </w:r>
            <w:r>
              <w:rPr>
                <w:lang w:eastAsia="en-US"/>
              </w:rPr>
              <w:t>: GESTIÓN Y EVALUACIÓN DE SERVICIOS SOCIALES</w:t>
            </w:r>
          </w:p>
          <w:p w:rsidR="002E59DB" w:rsidRDefault="002E59DB">
            <w:pPr>
              <w:rPr>
                <w:lang w:eastAsia="en-US"/>
              </w:rPr>
            </w:pPr>
          </w:p>
        </w:tc>
      </w:tr>
      <w:tr w:rsidR="002E59DB" w:rsidTr="002E59DB">
        <w:tc>
          <w:tcPr>
            <w:tcW w:w="8644" w:type="dxa"/>
            <w:tcBorders>
              <w:top w:val="single" w:sz="4" w:space="0" w:color="auto"/>
              <w:left w:val="single" w:sz="4" w:space="0" w:color="auto"/>
              <w:bottom w:val="single" w:sz="4" w:space="0" w:color="auto"/>
              <w:right w:val="single" w:sz="4" w:space="0" w:color="auto"/>
            </w:tcBorders>
            <w:hideMark/>
          </w:tcPr>
          <w:p w:rsidR="002E59DB" w:rsidRDefault="002E59DB" w:rsidP="002E59DB">
            <w:pPr>
              <w:rPr>
                <w:b/>
              </w:rPr>
            </w:pPr>
            <w:r>
              <w:rPr>
                <w:b/>
              </w:rPr>
              <w:t xml:space="preserve">ASIGNATURA 2.2.2: </w:t>
            </w:r>
          </w:p>
          <w:p w:rsidR="002E59DB" w:rsidRDefault="002E59DB" w:rsidP="002E59DB">
            <w:r>
              <w:rPr>
                <w:b/>
              </w:rPr>
              <w:t>603685 PLANIFICACIÓN, CALIDAD DE PROGRAMAS, PROYECTOS Y SERVICIOS SOCIALES</w:t>
            </w:r>
          </w:p>
          <w:p w:rsidR="002E59DB" w:rsidRDefault="002E59DB">
            <w:pPr>
              <w:rPr>
                <w:lang w:eastAsia="en-US"/>
              </w:rPr>
            </w:pPr>
          </w:p>
        </w:tc>
      </w:tr>
    </w:tbl>
    <w:p w:rsidR="002E59DB" w:rsidRDefault="002E59DB" w:rsidP="002E59DB"/>
    <w:p w:rsidR="008F25F3" w:rsidRDefault="008F25F3" w:rsidP="002E59DB">
      <w:r w:rsidRPr="008F25F3">
        <w:rPr>
          <w:b/>
        </w:rPr>
        <w:t>PROFESORA</w:t>
      </w:r>
      <w:r>
        <w:t>: Dra. Elena Roldán García</w:t>
      </w:r>
    </w:p>
    <w:p w:rsidR="002E59DB" w:rsidRDefault="002E59DB" w:rsidP="002E59DB"/>
    <w:p w:rsidR="002E59DB" w:rsidRDefault="002E59DB" w:rsidP="002E59DB"/>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900"/>
        <w:gridCol w:w="1623"/>
        <w:gridCol w:w="4137"/>
      </w:tblGrid>
      <w:tr w:rsidR="002E59DB" w:rsidTr="002E59DB">
        <w:trPr>
          <w:jc w:val="center"/>
        </w:trPr>
        <w:tc>
          <w:tcPr>
            <w:tcW w:w="1800" w:type="dxa"/>
            <w:tcBorders>
              <w:top w:val="single" w:sz="4" w:space="0" w:color="auto"/>
              <w:left w:val="single" w:sz="4" w:space="0" w:color="auto"/>
              <w:bottom w:val="single" w:sz="4" w:space="0" w:color="auto"/>
              <w:right w:val="single" w:sz="4" w:space="0" w:color="auto"/>
            </w:tcBorders>
          </w:tcPr>
          <w:p w:rsidR="002E59DB" w:rsidRDefault="002E59DB">
            <w:pPr>
              <w:spacing w:line="276" w:lineRule="auto"/>
              <w:jc w:val="center"/>
              <w:rPr>
                <w:b/>
                <w:lang w:eastAsia="en-US"/>
              </w:rPr>
            </w:pPr>
            <w:r>
              <w:rPr>
                <w:b/>
                <w:lang w:eastAsia="en-US"/>
              </w:rPr>
              <w:t>CARÁCTER</w:t>
            </w:r>
          </w:p>
          <w:p w:rsidR="002E59DB" w:rsidRDefault="002E59DB">
            <w:pPr>
              <w:spacing w:line="276"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2E59DB" w:rsidRDefault="002E59DB">
            <w:pPr>
              <w:spacing w:line="276" w:lineRule="auto"/>
              <w:jc w:val="center"/>
              <w:rPr>
                <w:b/>
                <w:lang w:eastAsia="en-US"/>
              </w:rPr>
            </w:pPr>
            <w:r>
              <w:rPr>
                <w:b/>
                <w:lang w:eastAsia="en-US"/>
              </w:rPr>
              <w:t>ECTS</w:t>
            </w:r>
          </w:p>
        </w:tc>
        <w:tc>
          <w:tcPr>
            <w:tcW w:w="1623" w:type="dxa"/>
            <w:tcBorders>
              <w:top w:val="single" w:sz="4" w:space="0" w:color="auto"/>
              <w:left w:val="single" w:sz="4" w:space="0" w:color="auto"/>
              <w:bottom w:val="single" w:sz="4" w:space="0" w:color="auto"/>
              <w:right w:val="single" w:sz="4" w:space="0" w:color="auto"/>
            </w:tcBorders>
            <w:hideMark/>
          </w:tcPr>
          <w:p w:rsidR="002E59DB" w:rsidRDefault="002E59DB">
            <w:pPr>
              <w:spacing w:line="276" w:lineRule="auto"/>
              <w:jc w:val="center"/>
              <w:rPr>
                <w:b/>
                <w:lang w:eastAsia="en-US"/>
              </w:rPr>
            </w:pPr>
            <w:r>
              <w:rPr>
                <w:b/>
                <w:lang w:eastAsia="en-US"/>
              </w:rPr>
              <w:t>SEMESTRE</w:t>
            </w:r>
          </w:p>
        </w:tc>
        <w:tc>
          <w:tcPr>
            <w:tcW w:w="4137" w:type="dxa"/>
            <w:tcBorders>
              <w:top w:val="single" w:sz="4" w:space="0" w:color="auto"/>
              <w:left w:val="single" w:sz="4" w:space="0" w:color="auto"/>
              <w:bottom w:val="single" w:sz="4" w:space="0" w:color="auto"/>
              <w:right w:val="single" w:sz="4" w:space="0" w:color="auto"/>
            </w:tcBorders>
            <w:hideMark/>
          </w:tcPr>
          <w:p w:rsidR="002E59DB" w:rsidRDefault="002E59DB">
            <w:pPr>
              <w:spacing w:line="276" w:lineRule="auto"/>
              <w:jc w:val="center"/>
              <w:rPr>
                <w:b/>
                <w:lang w:eastAsia="en-US"/>
              </w:rPr>
            </w:pPr>
            <w:r>
              <w:rPr>
                <w:b/>
                <w:lang w:eastAsia="en-US"/>
              </w:rPr>
              <w:t>DEPARTAMENTO</w:t>
            </w:r>
          </w:p>
        </w:tc>
      </w:tr>
      <w:tr w:rsidR="002E59DB" w:rsidTr="002E59DB">
        <w:trPr>
          <w:jc w:val="center"/>
        </w:trPr>
        <w:tc>
          <w:tcPr>
            <w:tcW w:w="1800" w:type="dxa"/>
            <w:tcBorders>
              <w:top w:val="single" w:sz="4" w:space="0" w:color="auto"/>
              <w:left w:val="single" w:sz="4" w:space="0" w:color="auto"/>
              <w:bottom w:val="single" w:sz="4" w:space="0" w:color="auto"/>
              <w:right w:val="single" w:sz="4" w:space="0" w:color="auto"/>
            </w:tcBorders>
          </w:tcPr>
          <w:p w:rsidR="002E59DB" w:rsidRDefault="002E59DB">
            <w:pPr>
              <w:spacing w:line="276" w:lineRule="auto"/>
              <w:jc w:val="center"/>
              <w:rPr>
                <w:color w:val="000000"/>
                <w:lang w:eastAsia="en-US"/>
              </w:rPr>
            </w:pPr>
            <w:r>
              <w:rPr>
                <w:color w:val="000000"/>
                <w:lang w:eastAsia="en-US"/>
              </w:rPr>
              <w:t>OPTATIVO</w:t>
            </w:r>
          </w:p>
          <w:p w:rsidR="002E59DB" w:rsidRDefault="002E59DB">
            <w:pPr>
              <w:spacing w:line="276" w:lineRule="auto"/>
              <w:jc w:val="center"/>
              <w:rPr>
                <w:color w:val="00000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2E59DB" w:rsidRDefault="002E59DB">
            <w:pPr>
              <w:spacing w:line="276" w:lineRule="auto"/>
              <w:jc w:val="center"/>
              <w:rPr>
                <w:color w:val="000000"/>
                <w:lang w:eastAsia="en-US"/>
              </w:rPr>
            </w:pPr>
            <w:r>
              <w:rPr>
                <w:color w:val="000000"/>
                <w:lang w:eastAsia="en-US"/>
              </w:rPr>
              <w:t>6</w:t>
            </w:r>
          </w:p>
        </w:tc>
        <w:tc>
          <w:tcPr>
            <w:tcW w:w="1623" w:type="dxa"/>
            <w:tcBorders>
              <w:top w:val="single" w:sz="4" w:space="0" w:color="auto"/>
              <w:left w:val="single" w:sz="4" w:space="0" w:color="auto"/>
              <w:bottom w:val="single" w:sz="4" w:space="0" w:color="auto"/>
              <w:right w:val="single" w:sz="4" w:space="0" w:color="auto"/>
            </w:tcBorders>
            <w:hideMark/>
          </w:tcPr>
          <w:p w:rsidR="002E59DB" w:rsidRDefault="002E59DB">
            <w:pPr>
              <w:spacing w:line="276" w:lineRule="auto"/>
              <w:rPr>
                <w:color w:val="000000"/>
                <w:lang w:eastAsia="en-US"/>
              </w:rPr>
            </w:pPr>
            <w:r>
              <w:rPr>
                <w:color w:val="000000"/>
                <w:lang w:eastAsia="en-US"/>
              </w:rPr>
              <w:t>Primero</w:t>
            </w:r>
          </w:p>
        </w:tc>
        <w:tc>
          <w:tcPr>
            <w:tcW w:w="4137" w:type="dxa"/>
            <w:tcBorders>
              <w:top w:val="single" w:sz="4" w:space="0" w:color="auto"/>
              <w:left w:val="single" w:sz="4" w:space="0" w:color="auto"/>
              <w:bottom w:val="single" w:sz="4" w:space="0" w:color="auto"/>
              <w:right w:val="single" w:sz="4" w:space="0" w:color="auto"/>
            </w:tcBorders>
          </w:tcPr>
          <w:p w:rsidR="002E59DB" w:rsidRDefault="002E59DB" w:rsidP="002E59DB">
            <w:pPr>
              <w:spacing w:line="276" w:lineRule="auto"/>
              <w:jc w:val="center"/>
              <w:rPr>
                <w:color w:val="000000"/>
                <w:lang w:eastAsia="en-US"/>
              </w:rPr>
            </w:pPr>
            <w:r>
              <w:rPr>
                <w:color w:val="000000"/>
                <w:lang w:eastAsia="en-US"/>
              </w:rPr>
              <w:t>Departamento de Trabajo Social y Servicios Sociales</w:t>
            </w:r>
          </w:p>
        </w:tc>
      </w:tr>
    </w:tbl>
    <w:p w:rsidR="002E59DB" w:rsidRDefault="002E59DB" w:rsidP="002E59DB"/>
    <w:p w:rsidR="002E59DB" w:rsidRDefault="002E59DB" w:rsidP="002E59DB"/>
    <w:p w:rsidR="002E59DB" w:rsidRDefault="002E59DB" w:rsidP="002E59DB"/>
    <w:tbl>
      <w:tblPr>
        <w:tblStyle w:val="Tablaconcuadrcula"/>
        <w:tblW w:w="0" w:type="auto"/>
        <w:tblLook w:val="04A0"/>
      </w:tblPr>
      <w:tblGrid>
        <w:gridCol w:w="8644"/>
      </w:tblGrid>
      <w:tr w:rsidR="002E59DB" w:rsidTr="002E59DB">
        <w:tc>
          <w:tcPr>
            <w:tcW w:w="8644" w:type="dxa"/>
            <w:tcBorders>
              <w:top w:val="single" w:sz="4" w:space="0" w:color="auto"/>
              <w:left w:val="single" w:sz="4" w:space="0" w:color="auto"/>
              <w:bottom w:val="single" w:sz="4" w:space="0" w:color="auto"/>
              <w:right w:val="single" w:sz="4" w:space="0" w:color="auto"/>
            </w:tcBorders>
          </w:tcPr>
          <w:p w:rsidR="002E59DB" w:rsidRDefault="002E59DB">
            <w:pPr>
              <w:rPr>
                <w:b/>
                <w:lang w:eastAsia="en-US"/>
              </w:rPr>
            </w:pPr>
            <w:r>
              <w:rPr>
                <w:b/>
                <w:lang w:eastAsia="en-US"/>
              </w:rPr>
              <w:t>PRESENTACIÓN DE LA ASIGNATURA</w:t>
            </w:r>
          </w:p>
          <w:p w:rsidR="002E59DB" w:rsidRDefault="002E59DB">
            <w:pPr>
              <w:pStyle w:val="EPIGRAFEMEMORIAMEDIANO"/>
              <w:rPr>
                <w:b w:val="0"/>
                <w:bCs/>
                <w:color w:val="auto"/>
                <w:sz w:val="20"/>
                <w:szCs w:val="20"/>
                <w:lang w:eastAsia="en-US"/>
              </w:rPr>
            </w:pPr>
          </w:p>
          <w:p w:rsidR="00631A13" w:rsidRDefault="00631A13" w:rsidP="00631A13">
            <w:pPr>
              <w:jc w:val="both"/>
              <w:rPr>
                <w:bCs/>
              </w:rPr>
            </w:pPr>
            <w:r>
              <w:rPr>
                <w:b/>
                <w:bCs/>
                <w:i/>
              </w:rPr>
              <w:t>“El módulo 2</w:t>
            </w:r>
            <w:r>
              <w:rPr>
                <w:bCs/>
              </w:rPr>
              <w:t>, de carácter optativo, se cursa durante los dos semestres. Comprende, por una parte, las dos materias que constituyen el núcleo formativo fundamental del Máster (</w:t>
            </w:r>
            <w:r>
              <w:rPr>
                <w:b/>
                <w:bCs/>
              </w:rPr>
              <w:t xml:space="preserve">Materia 2.1. Desarrollo Comunitario </w:t>
            </w:r>
            <w:r>
              <w:rPr>
                <w:bCs/>
              </w:rPr>
              <w:t>y</w:t>
            </w:r>
            <w:r>
              <w:rPr>
                <w:b/>
                <w:bCs/>
              </w:rPr>
              <w:t xml:space="preserve"> Materia 2.2. Gestión y Evaluación de los Servicios Sociales</w:t>
            </w:r>
            <w:r>
              <w:rPr>
                <w:bCs/>
                <w:lang w:val="es-ES_tradnl"/>
              </w:rPr>
              <w:t xml:space="preserve">) y, por otra, </w:t>
            </w:r>
            <w:r>
              <w:rPr>
                <w:bCs/>
              </w:rPr>
              <w:t xml:space="preserve">la </w:t>
            </w:r>
            <w:r>
              <w:rPr>
                <w:b/>
                <w:bCs/>
              </w:rPr>
              <w:t>Materia 2.3</w:t>
            </w:r>
            <w:r>
              <w:rPr>
                <w:bCs/>
              </w:rPr>
              <w:t xml:space="preserve">. </w:t>
            </w:r>
            <w:r>
              <w:rPr>
                <w:b/>
                <w:bCs/>
              </w:rPr>
              <w:t>Contexto de la Acción Comunitaria y la Administración social</w:t>
            </w:r>
            <w:r>
              <w:rPr>
                <w:bCs/>
              </w:rPr>
              <w:t xml:space="preserve">, que permite al alumnado seleccionar aquellas temáticas relacionadas tanto con la administración social como con el trabajo comunitario que sean de su interés entre una oferta que se centra, entre otras, en la coordinación y dirección de equipos de trabajo, los nuevos modelos de administración de los servicios sociales, en las teorías sobre la comunidad, la mediación comunitaria o la gestión del voluntariado. </w:t>
            </w:r>
          </w:p>
          <w:p w:rsidR="00631A13" w:rsidRDefault="00631A13" w:rsidP="00631A13">
            <w:pPr>
              <w:jc w:val="both"/>
              <w:rPr>
                <w:bCs/>
              </w:rPr>
            </w:pPr>
            <w:r>
              <w:rPr>
                <w:bCs/>
              </w:rPr>
              <w:t xml:space="preserve">En este módulo 2 el alumnado ha de cursar un total de 27 créditos optativos. Para completar los mismos habrá de elegir un máximo de 12 créditos ECTS (2 asignaturas) entre las asignaturas de la materia 2.1. Desarrollo Comunitario, y entre un mínimo de 6 y un máximo de 18 créditos ECTS (entre 1 y 3 asignaturas) en la materia 2.2. Gestión y Evaluación de los Servicios Sociales. También cursará 9 créditos ECTS (2 asignaturas) elegidos entre la oferta de asignaturas de la Materia 2.3. Contexto de la Acción Comunitaria y la Administración Social. De este modo </w:t>
            </w:r>
            <w:r>
              <w:rPr>
                <w:bCs/>
                <w:lang w:val="es-ES_tradnl"/>
              </w:rPr>
              <w:t>e</w:t>
            </w:r>
            <w:r>
              <w:rPr>
                <w:bCs/>
              </w:rPr>
              <w:t xml:space="preserve">l alumnado tendrá la opción de </w:t>
            </w:r>
            <w:r>
              <w:rPr>
                <w:bCs/>
              </w:rPr>
              <w:lastRenderedPageBreak/>
              <w:t>enfatizar en su perfil formativo los contenidos más orientados al desarrollo comunitario o a la planificación, gestión y evaluación de los servicios sociales”.</w:t>
            </w:r>
          </w:p>
          <w:p w:rsidR="00631A13" w:rsidRDefault="00631A13" w:rsidP="00631A13"/>
          <w:p w:rsidR="002E59DB" w:rsidRDefault="002E59DB" w:rsidP="00631A13">
            <w:pPr>
              <w:jc w:val="both"/>
              <w:rPr>
                <w:lang w:eastAsia="en-US"/>
              </w:rPr>
            </w:pPr>
          </w:p>
        </w:tc>
      </w:tr>
    </w:tbl>
    <w:p w:rsidR="002E59DB" w:rsidRDefault="002E59DB" w:rsidP="002E59DB">
      <w:pPr>
        <w:jc w:val="center"/>
      </w:pPr>
    </w:p>
    <w:p w:rsidR="002E59DB" w:rsidRDefault="002E59DB" w:rsidP="002E59DB">
      <w:pPr>
        <w:jc w:val="center"/>
      </w:pPr>
    </w:p>
    <w:tbl>
      <w:tblPr>
        <w:tblStyle w:val="Tablaconcuadrcula"/>
        <w:tblW w:w="0" w:type="auto"/>
        <w:tblLook w:val="04A0"/>
      </w:tblPr>
      <w:tblGrid>
        <w:gridCol w:w="8644"/>
      </w:tblGrid>
      <w:tr w:rsidR="002E59DB" w:rsidTr="002E59DB">
        <w:tc>
          <w:tcPr>
            <w:tcW w:w="8644" w:type="dxa"/>
            <w:tcBorders>
              <w:top w:val="single" w:sz="4" w:space="0" w:color="auto"/>
              <w:left w:val="single" w:sz="4" w:space="0" w:color="auto"/>
              <w:bottom w:val="single" w:sz="4" w:space="0" w:color="auto"/>
              <w:right w:val="single" w:sz="4" w:space="0" w:color="auto"/>
            </w:tcBorders>
          </w:tcPr>
          <w:p w:rsidR="002E59DB" w:rsidRDefault="002E59DB">
            <w:pPr>
              <w:jc w:val="both"/>
              <w:rPr>
                <w:b/>
                <w:lang w:eastAsia="en-US"/>
              </w:rPr>
            </w:pPr>
            <w:r>
              <w:rPr>
                <w:b/>
                <w:lang w:eastAsia="en-US"/>
              </w:rPr>
              <w:t>REQUISITOS PREVIOS</w:t>
            </w:r>
          </w:p>
          <w:p w:rsidR="002E59DB" w:rsidRDefault="002E59DB">
            <w:pPr>
              <w:jc w:val="both"/>
              <w:rPr>
                <w:b/>
                <w:lang w:eastAsia="en-US"/>
              </w:rPr>
            </w:pPr>
          </w:p>
          <w:p w:rsidR="002E59DB" w:rsidRDefault="002E59DB">
            <w:pPr>
              <w:jc w:val="both"/>
              <w:rPr>
                <w:lang w:eastAsia="en-US"/>
              </w:rPr>
            </w:pPr>
            <w:r>
              <w:rPr>
                <w:lang w:eastAsia="en-US"/>
              </w:rPr>
              <w:t>Ninguno</w:t>
            </w:r>
          </w:p>
          <w:p w:rsidR="002E59DB" w:rsidRDefault="002E59DB">
            <w:pPr>
              <w:jc w:val="center"/>
              <w:rPr>
                <w:lang w:eastAsia="en-US"/>
              </w:rPr>
            </w:pPr>
          </w:p>
        </w:tc>
      </w:tr>
    </w:tbl>
    <w:p w:rsidR="002E59DB" w:rsidRDefault="002E59DB" w:rsidP="002E59DB">
      <w:pPr>
        <w:jc w:val="center"/>
      </w:pPr>
    </w:p>
    <w:p w:rsidR="002E59DB" w:rsidRDefault="002E59DB" w:rsidP="002E59DB">
      <w:pPr>
        <w:jc w:val="center"/>
      </w:pPr>
    </w:p>
    <w:p w:rsidR="002E59DB" w:rsidRDefault="002E59DB" w:rsidP="002E59DB">
      <w:pPr>
        <w:jc w:val="center"/>
      </w:pPr>
    </w:p>
    <w:p w:rsidR="002E59DB" w:rsidRDefault="002E59DB" w:rsidP="002E59DB">
      <w:pPr>
        <w:jc w:val="center"/>
      </w:pPr>
    </w:p>
    <w:p w:rsidR="002E59DB" w:rsidRDefault="002E59DB" w:rsidP="002E59DB">
      <w:pPr>
        <w:jc w:val="center"/>
      </w:pPr>
      <w:r>
        <w:rPr>
          <w:rFonts w:ascii="Arial" w:hAnsi="Arial" w:cs="Arial"/>
          <w:b/>
        </w:rPr>
        <w:t>1. COMPETENCIAS   Y CONTENIDOS</w:t>
      </w:r>
    </w:p>
    <w:p w:rsidR="002E59DB" w:rsidRDefault="002E59DB" w:rsidP="002E59DB"/>
    <w:p w:rsidR="002E59DB" w:rsidRDefault="002E59DB" w:rsidP="002E59DB">
      <w:pPr>
        <w:tabs>
          <w:tab w:val="left" w:pos="1252"/>
        </w:tabs>
      </w:pPr>
      <w:r>
        <w:tab/>
      </w:r>
    </w:p>
    <w:tbl>
      <w:tblPr>
        <w:tblStyle w:val="Tablaconcuadrcula"/>
        <w:tblW w:w="0" w:type="auto"/>
        <w:tblLook w:val="04A0"/>
      </w:tblPr>
      <w:tblGrid>
        <w:gridCol w:w="8644"/>
      </w:tblGrid>
      <w:tr w:rsidR="002E59DB" w:rsidTr="002E59DB">
        <w:tc>
          <w:tcPr>
            <w:tcW w:w="8644" w:type="dxa"/>
            <w:tcBorders>
              <w:top w:val="single" w:sz="4" w:space="0" w:color="auto"/>
              <w:left w:val="single" w:sz="4" w:space="0" w:color="auto"/>
              <w:bottom w:val="single" w:sz="4" w:space="0" w:color="auto"/>
              <w:right w:val="single" w:sz="4" w:space="0" w:color="auto"/>
            </w:tcBorders>
          </w:tcPr>
          <w:p w:rsidR="002E59DB" w:rsidRDefault="002E59DB">
            <w:pPr>
              <w:rPr>
                <w:b/>
                <w:sz w:val="20"/>
                <w:szCs w:val="20"/>
                <w:lang w:eastAsia="en-US"/>
              </w:rPr>
            </w:pPr>
            <w:r>
              <w:rPr>
                <w:b/>
                <w:sz w:val="20"/>
                <w:szCs w:val="20"/>
                <w:lang w:eastAsia="en-US"/>
              </w:rPr>
              <w:t xml:space="preserve">COMPETENCIAS CORRESPONDIENTES A LA </w:t>
            </w:r>
            <w:r>
              <w:rPr>
                <w:b/>
                <w:sz w:val="20"/>
                <w:szCs w:val="20"/>
                <w:u w:val="single"/>
                <w:lang w:eastAsia="en-US"/>
              </w:rPr>
              <w:t>ASIGNATURA</w:t>
            </w:r>
          </w:p>
          <w:p w:rsidR="002E59DB" w:rsidRDefault="002E59DB">
            <w:pPr>
              <w:rPr>
                <w:lang w:eastAsia="en-US"/>
              </w:rPr>
            </w:pPr>
          </w:p>
          <w:p w:rsidR="002E59DB" w:rsidRDefault="002E59DB">
            <w:pPr>
              <w:rPr>
                <w:lang w:eastAsia="en-US"/>
              </w:rPr>
            </w:pPr>
            <w:r>
              <w:rPr>
                <w:lang w:eastAsia="en-US"/>
              </w:rPr>
              <w:t>Al finalizar la asignatura el estudiante habrá profundizado en algún aspecto de las siguientes competencias:</w:t>
            </w:r>
          </w:p>
          <w:p w:rsidR="002E59DB" w:rsidRDefault="002E59DB">
            <w:pPr>
              <w:rPr>
                <w:rFonts w:ascii="Verdana" w:hAnsi="Verdana"/>
                <w:sz w:val="18"/>
                <w:szCs w:val="18"/>
                <w:lang w:eastAsia="en-US"/>
              </w:rPr>
            </w:pPr>
          </w:p>
          <w:p w:rsidR="00631A13" w:rsidRDefault="00631A13" w:rsidP="00631A13">
            <w:pPr>
              <w:ind w:left="708"/>
              <w:jc w:val="both"/>
              <w:rPr>
                <w:sz w:val="22"/>
                <w:szCs w:val="22"/>
              </w:rPr>
            </w:pPr>
            <w:r>
              <w:rPr>
                <w:sz w:val="22"/>
                <w:szCs w:val="22"/>
              </w:rPr>
              <w:t xml:space="preserve">1.- Reconocer y utilizar con precisión los conceptos y la terminología de planificación y calidad en servicios sociales. </w:t>
            </w:r>
          </w:p>
          <w:p w:rsidR="00631A13" w:rsidRDefault="00631A13" w:rsidP="00631A13">
            <w:pPr>
              <w:ind w:left="708"/>
              <w:jc w:val="both"/>
              <w:rPr>
                <w:sz w:val="22"/>
                <w:szCs w:val="22"/>
              </w:rPr>
            </w:pPr>
            <w:r>
              <w:rPr>
                <w:sz w:val="22"/>
                <w:szCs w:val="22"/>
              </w:rPr>
              <w:t xml:space="preserve"> </w:t>
            </w:r>
          </w:p>
          <w:p w:rsidR="00631A13" w:rsidRDefault="00631A13" w:rsidP="00631A13">
            <w:pPr>
              <w:ind w:left="708"/>
              <w:jc w:val="both"/>
              <w:rPr>
                <w:sz w:val="22"/>
                <w:szCs w:val="22"/>
              </w:rPr>
            </w:pPr>
            <w:r>
              <w:rPr>
                <w:sz w:val="22"/>
                <w:szCs w:val="22"/>
              </w:rPr>
              <w:t>2.- Conocer y analizar los métodos y modelos de planificación utilizados en servicios sociales, en especial la planificación estratégica</w:t>
            </w:r>
          </w:p>
          <w:p w:rsidR="00631A13" w:rsidRDefault="00631A13" w:rsidP="00631A13">
            <w:pPr>
              <w:ind w:left="708"/>
              <w:jc w:val="both"/>
              <w:rPr>
                <w:sz w:val="22"/>
                <w:szCs w:val="22"/>
              </w:rPr>
            </w:pPr>
            <w:r>
              <w:rPr>
                <w:sz w:val="22"/>
                <w:szCs w:val="22"/>
              </w:rPr>
              <w:t xml:space="preserve"> </w:t>
            </w:r>
          </w:p>
          <w:p w:rsidR="00631A13" w:rsidRDefault="00631A13" w:rsidP="00631A13">
            <w:pPr>
              <w:ind w:left="708"/>
              <w:jc w:val="both"/>
              <w:rPr>
                <w:sz w:val="22"/>
                <w:szCs w:val="22"/>
              </w:rPr>
            </w:pPr>
            <w:r>
              <w:rPr>
                <w:sz w:val="22"/>
                <w:szCs w:val="22"/>
              </w:rPr>
              <w:t xml:space="preserve">3.-  Identificar los </w:t>
            </w:r>
            <w:r>
              <w:rPr>
                <w:color w:val="000000"/>
                <w:sz w:val="22"/>
              </w:rPr>
              <w:t>modelos y sistemas de calidad</w:t>
            </w:r>
            <w:r>
              <w:rPr>
                <w:sz w:val="22"/>
                <w:szCs w:val="22"/>
              </w:rPr>
              <w:t xml:space="preserve"> establecidos tanto el ámbito público como privado en los servicios sociales</w:t>
            </w:r>
          </w:p>
          <w:p w:rsidR="00631A13" w:rsidRDefault="00631A13" w:rsidP="00631A13">
            <w:pPr>
              <w:ind w:left="708"/>
              <w:jc w:val="both"/>
              <w:rPr>
                <w:sz w:val="22"/>
                <w:szCs w:val="22"/>
              </w:rPr>
            </w:pPr>
          </w:p>
          <w:p w:rsidR="00631A13" w:rsidRDefault="00631A13" w:rsidP="00631A13">
            <w:pPr>
              <w:ind w:left="708"/>
              <w:jc w:val="both"/>
              <w:rPr>
                <w:sz w:val="22"/>
                <w:szCs w:val="22"/>
              </w:rPr>
            </w:pPr>
            <w:r>
              <w:rPr>
                <w:sz w:val="22"/>
                <w:szCs w:val="22"/>
              </w:rPr>
              <w:t>4.- Analizar y reflexionar sobre el sistema de servicios sociales en España y la aplicación en el mismo de la planificación y la calidad.</w:t>
            </w:r>
          </w:p>
          <w:p w:rsidR="00631A13" w:rsidRDefault="00631A13" w:rsidP="00631A13">
            <w:pPr>
              <w:ind w:left="708"/>
              <w:jc w:val="both"/>
              <w:rPr>
                <w:sz w:val="22"/>
                <w:szCs w:val="22"/>
              </w:rPr>
            </w:pPr>
          </w:p>
          <w:p w:rsidR="002E59DB" w:rsidRDefault="00631A13" w:rsidP="00631A13">
            <w:pPr>
              <w:ind w:left="708"/>
              <w:jc w:val="both"/>
              <w:rPr>
                <w:b/>
                <w:iCs/>
                <w:lang w:val="es-ES_tradnl" w:eastAsia="en-US"/>
              </w:rPr>
            </w:pPr>
            <w:r>
              <w:rPr>
                <w:sz w:val="22"/>
                <w:szCs w:val="22"/>
              </w:rPr>
              <w:t>5.-  Conocer la normativa y bibliografía existente respecto a la planificación y calidad en los servicios sociales</w:t>
            </w:r>
            <w:r>
              <w:rPr>
                <w:b/>
                <w:iCs/>
                <w:lang w:val="es-ES_tradnl" w:eastAsia="en-US"/>
              </w:rPr>
              <w:t xml:space="preserve"> </w:t>
            </w:r>
          </w:p>
          <w:p w:rsidR="002E59DB" w:rsidRDefault="002E59DB">
            <w:pPr>
              <w:pStyle w:val="EPIGRAFEMEMORIAMEDIANO"/>
              <w:rPr>
                <w:rFonts w:ascii="Times New Roman" w:hAnsi="Times New Roman" w:cs="Times New Roman"/>
                <w:b w:val="0"/>
                <w:iCs/>
                <w:color w:val="auto"/>
                <w:lang w:val="es-ES_tradnl" w:eastAsia="en-US"/>
              </w:rPr>
            </w:pPr>
          </w:p>
          <w:p w:rsidR="002E59DB" w:rsidRDefault="002E59DB">
            <w:pPr>
              <w:pStyle w:val="EPIGRAFEMEMORIAMEDIANO"/>
              <w:rPr>
                <w:rFonts w:ascii="Times New Roman" w:hAnsi="Times New Roman" w:cs="Times New Roman"/>
                <w:lang w:val="es-ES_tradnl" w:eastAsia="en-US"/>
              </w:rPr>
            </w:pPr>
          </w:p>
        </w:tc>
      </w:tr>
    </w:tbl>
    <w:p w:rsidR="002E59DB" w:rsidRDefault="002E59DB" w:rsidP="002E59DB">
      <w:pPr>
        <w:tabs>
          <w:tab w:val="left" w:pos="1252"/>
        </w:tabs>
      </w:pPr>
    </w:p>
    <w:p w:rsidR="002E59DB" w:rsidRDefault="002E59DB" w:rsidP="002E59DB"/>
    <w:tbl>
      <w:tblPr>
        <w:tblStyle w:val="Tablaconcuadrcula"/>
        <w:tblW w:w="0" w:type="auto"/>
        <w:tblLook w:val="04A0"/>
      </w:tblPr>
      <w:tblGrid>
        <w:gridCol w:w="8644"/>
      </w:tblGrid>
      <w:tr w:rsidR="002E59DB" w:rsidTr="002E59DB">
        <w:tc>
          <w:tcPr>
            <w:tcW w:w="8644" w:type="dxa"/>
            <w:tcBorders>
              <w:top w:val="single" w:sz="4" w:space="0" w:color="auto"/>
              <w:left w:val="single" w:sz="4" w:space="0" w:color="auto"/>
              <w:bottom w:val="single" w:sz="4" w:space="0" w:color="auto"/>
              <w:right w:val="single" w:sz="4" w:space="0" w:color="auto"/>
            </w:tcBorders>
          </w:tcPr>
          <w:p w:rsidR="002E59DB" w:rsidRDefault="002E59DB">
            <w:pPr>
              <w:rPr>
                <w:b/>
                <w:sz w:val="20"/>
                <w:szCs w:val="20"/>
                <w:lang w:eastAsia="en-US"/>
              </w:rPr>
            </w:pPr>
            <w:r>
              <w:rPr>
                <w:b/>
                <w:sz w:val="28"/>
                <w:szCs w:val="28"/>
                <w:lang w:eastAsia="en-US"/>
              </w:rPr>
              <w:t>CONTENIDOS</w:t>
            </w:r>
          </w:p>
          <w:p w:rsidR="002E59DB" w:rsidRDefault="002E59DB">
            <w:pPr>
              <w:rPr>
                <w:sz w:val="20"/>
                <w:szCs w:val="20"/>
                <w:lang w:eastAsia="en-US"/>
              </w:rPr>
            </w:pPr>
          </w:p>
          <w:p w:rsidR="00EA0B85" w:rsidRPr="00EA0B85" w:rsidRDefault="00EA0B85" w:rsidP="00EA0B85">
            <w:pPr>
              <w:numPr>
                <w:ilvl w:val="0"/>
                <w:numId w:val="4"/>
              </w:numPr>
            </w:pPr>
            <w:r w:rsidRPr="00EA0B85">
              <w:t>Cambios en el sistema de Servicios sociales: el marco de la planificación y la calidad</w:t>
            </w:r>
          </w:p>
          <w:p w:rsidR="00EA0B85" w:rsidRPr="00EA0B85" w:rsidRDefault="00EA0B85" w:rsidP="00EA0B85">
            <w:pPr>
              <w:numPr>
                <w:ilvl w:val="0"/>
                <w:numId w:val="4"/>
              </w:numPr>
            </w:pPr>
            <w:r w:rsidRPr="00EA0B85">
              <w:t>La calidad como eje articulador de los cambios</w:t>
            </w:r>
          </w:p>
          <w:p w:rsidR="00EA0B85" w:rsidRPr="00EA0B85" w:rsidRDefault="00EA0B85" w:rsidP="00EA0B85">
            <w:pPr>
              <w:numPr>
                <w:ilvl w:val="0"/>
                <w:numId w:val="4"/>
              </w:numPr>
            </w:pPr>
            <w:r w:rsidRPr="00EA0B85">
              <w:t xml:space="preserve">Implantación de los sistemas de calidad </w:t>
            </w:r>
          </w:p>
          <w:p w:rsidR="00EA0B85" w:rsidRPr="00EA0B85" w:rsidRDefault="00EA0B85" w:rsidP="00EA0B85">
            <w:pPr>
              <w:numPr>
                <w:ilvl w:val="0"/>
                <w:numId w:val="4"/>
              </w:numPr>
            </w:pPr>
            <w:r w:rsidRPr="00EA0B85">
              <w:t>El sistema de planificación integral</w:t>
            </w:r>
          </w:p>
          <w:p w:rsidR="00EA0B85" w:rsidRPr="00EA0B85" w:rsidRDefault="00EA0B85" w:rsidP="00EA0B85">
            <w:pPr>
              <w:numPr>
                <w:ilvl w:val="0"/>
                <w:numId w:val="4"/>
              </w:numPr>
            </w:pPr>
            <w:r w:rsidRPr="00EA0B85">
              <w:t>Decisiones apoyadas en evidencias: El Sistema de Información Integral</w:t>
            </w:r>
          </w:p>
          <w:p w:rsidR="00EA0B85" w:rsidRPr="00EA0B85" w:rsidRDefault="00EA0B85" w:rsidP="00EA0B85">
            <w:pPr>
              <w:numPr>
                <w:ilvl w:val="0"/>
                <w:numId w:val="4"/>
              </w:numPr>
            </w:pPr>
            <w:r w:rsidRPr="00EA0B85">
              <w:t>El cuadro de mandos: monitorización de la implantación de la planificación estratégica</w:t>
            </w:r>
          </w:p>
          <w:p w:rsidR="00EA0B85" w:rsidRPr="00EA0B85" w:rsidRDefault="00EA0B85" w:rsidP="00EA0B85">
            <w:pPr>
              <w:numPr>
                <w:ilvl w:val="0"/>
                <w:numId w:val="4"/>
              </w:numPr>
            </w:pPr>
            <w:r w:rsidRPr="00EA0B85">
              <w:t>La calidad en la atención al ciudadano: Los retos de la integración de sistemas.</w:t>
            </w:r>
          </w:p>
          <w:p w:rsidR="002E59DB" w:rsidRDefault="002E59DB">
            <w:pPr>
              <w:ind w:left="855"/>
              <w:jc w:val="both"/>
              <w:rPr>
                <w:lang w:eastAsia="en-US"/>
              </w:rPr>
            </w:pPr>
          </w:p>
        </w:tc>
      </w:tr>
    </w:tbl>
    <w:p w:rsidR="002E59DB" w:rsidRDefault="002E59DB" w:rsidP="002E59DB">
      <w:pPr>
        <w:jc w:val="center"/>
        <w:rPr>
          <w:b/>
          <w:sz w:val="40"/>
          <w:szCs w:val="40"/>
        </w:rPr>
      </w:pPr>
    </w:p>
    <w:p w:rsidR="002E59DB" w:rsidRDefault="002E59DB" w:rsidP="002E59DB">
      <w:pPr>
        <w:jc w:val="center"/>
        <w:rPr>
          <w:b/>
          <w:sz w:val="40"/>
          <w:szCs w:val="40"/>
        </w:rPr>
      </w:pPr>
      <w:r>
        <w:rPr>
          <w:b/>
          <w:sz w:val="40"/>
          <w:szCs w:val="40"/>
        </w:rPr>
        <w:t>2. RESULTADOS DE APRENDIZAJE Y ACTIVIDADES FORMATIVAS</w:t>
      </w:r>
    </w:p>
    <w:p w:rsidR="002E59DB" w:rsidRDefault="002E59DB" w:rsidP="002E59DB"/>
    <w:p w:rsidR="002E59DB" w:rsidRDefault="002E59DB" w:rsidP="002E59D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7"/>
        <w:gridCol w:w="3753"/>
      </w:tblGrid>
      <w:tr w:rsidR="002E59DB" w:rsidTr="002E59DB">
        <w:tc>
          <w:tcPr>
            <w:tcW w:w="4967" w:type="dxa"/>
            <w:tcBorders>
              <w:top w:val="single" w:sz="4" w:space="0" w:color="auto"/>
              <w:left w:val="single" w:sz="4" w:space="0" w:color="auto"/>
              <w:bottom w:val="single" w:sz="4" w:space="0" w:color="auto"/>
              <w:right w:val="single" w:sz="4" w:space="0" w:color="auto"/>
            </w:tcBorders>
          </w:tcPr>
          <w:p w:rsidR="00C6270E" w:rsidRDefault="00C6270E" w:rsidP="00C6270E">
            <w:pPr>
              <w:jc w:val="center"/>
              <w:rPr>
                <w:b/>
              </w:rPr>
            </w:pPr>
            <w:r>
              <w:rPr>
                <w:sz w:val="22"/>
              </w:rPr>
              <w:t>El/la estudiante que supere esta asignatura será capaz de</w:t>
            </w:r>
          </w:p>
          <w:p w:rsidR="002E59DB" w:rsidRDefault="002E59DB">
            <w:pPr>
              <w:autoSpaceDE w:val="0"/>
              <w:autoSpaceDN w:val="0"/>
              <w:adjustRightInd w:val="0"/>
              <w:spacing w:line="276" w:lineRule="auto"/>
              <w:jc w:val="both"/>
              <w:rPr>
                <w:bCs/>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rsidR="002E59DB" w:rsidRDefault="002E59DB">
            <w:pPr>
              <w:spacing w:line="276" w:lineRule="auto"/>
              <w:jc w:val="center"/>
              <w:rPr>
                <w:b/>
                <w:lang w:eastAsia="en-US"/>
              </w:rPr>
            </w:pPr>
            <w:r>
              <w:rPr>
                <w:b/>
                <w:lang w:eastAsia="en-US"/>
              </w:rPr>
              <w:t>Actividades formativas</w:t>
            </w:r>
            <w:r>
              <w:rPr>
                <w:lang w:eastAsia="en-US"/>
              </w:rPr>
              <w:t xml:space="preserve"> </w:t>
            </w:r>
          </w:p>
          <w:p w:rsidR="002E59DB" w:rsidRDefault="002E59DB">
            <w:pPr>
              <w:autoSpaceDE w:val="0"/>
              <w:autoSpaceDN w:val="0"/>
              <w:adjustRightInd w:val="0"/>
              <w:spacing w:line="276" w:lineRule="auto"/>
              <w:ind w:left="194"/>
              <w:jc w:val="both"/>
              <w:rPr>
                <w:bCs/>
                <w:color w:val="000000"/>
                <w:lang w:eastAsia="en-US"/>
              </w:rPr>
            </w:pPr>
            <w:r>
              <w:rPr>
                <w:bCs/>
                <w:color w:val="000000"/>
                <w:lang w:eastAsia="en-US"/>
              </w:rPr>
              <w:t xml:space="preserve"> </w:t>
            </w:r>
          </w:p>
          <w:p w:rsidR="002E59DB" w:rsidRDefault="002E59DB">
            <w:pPr>
              <w:spacing w:line="276" w:lineRule="auto"/>
              <w:ind w:left="278"/>
              <w:rPr>
                <w:rFonts w:ascii="Arial" w:hAnsi="Arial" w:cs="Arial"/>
                <w:b/>
                <w:color w:val="FF0000"/>
                <w:sz w:val="20"/>
                <w:szCs w:val="20"/>
                <w:lang w:eastAsia="en-US"/>
              </w:rPr>
            </w:pPr>
          </w:p>
        </w:tc>
      </w:tr>
      <w:tr w:rsidR="00C6270E" w:rsidTr="006E617E">
        <w:tc>
          <w:tcPr>
            <w:tcW w:w="4967" w:type="dxa"/>
            <w:tcBorders>
              <w:top w:val="single" w:sz="4" w:space="0" w:color="auto"/>
              <w:left w:val="single" w:sz="4" w:space="0" w:color="auto"/>
              <w:bottom w:val="single" w:sz="4" w:space="0" w:color="auto"/>
              <w:right w:val="single" w:sz="4" w:space="0" w:color="auto"/>
            </w:tcBorders>
            <w:hideMark/>
          </w:tcPr>
          <w:p w:rsidR="00C6270E" w:rsidRDefault="00C6270E">
            <w:pPr>
              <w:autoSpaceDE w:val="0"/>
              <w:autoSpaceDN w:val="0"/>
              <w:adjustRightInd w:val="0"/>
              <w:spacing w:line="276" w:lineRule="auto"/>
              <w:jc w:val="both"/>
              <w:rPr>
                <w:lang w:eastAsia="en-US"/>
              </w:rPr>
            </w:pPr>
          </w:p>
        </w:tc>
        <w:tc>
          <w:tcPr>
            <w:tcW w:w="3753" w:type="dxa"/>
            <w:vMerge w:val="restart"/>
            <w:tcBorders>
              <w:top w:val="single" w:sz="4" w:space="0" w:color="auto"/>
              <w:left w:val="single" w:sz="4" w:space="0" w:color="auto"/>
              <w:right w:val="single" w:sz="4" w:space="0" w:color="auto"/>
            </w:tcBorders>
            <w:vAlign w:val="center"/>
            <w:hideMark/>
          </w:tcPr>
          <w:p w:rsidR="00C6270E" w:rsidRDefault="00C6270E" w:rsidP="00F7476E">
            <w:pPr>
              <w:numPr>
                <w:ilvl w:val="0"/>
                <w:numId w:val="2"/>
              </w:numPr>
              <w:autoSpaceDE w:val="0"/>
              <w:autoSpaceDN w:val="0"/>
              <w:adjustRightInd w:val="0"/>
              <w:spacing w:line="276" w:lineRule="auto"/>
              <w:ind w:left="194" w:hanging="194"/>
              <w:jc w:val="both"/>
              <w:rPr>
                <w:bCs/>
                <w:color w:val="000000"/>
                <w:lang w:eastAsia="en-US"/>
              </w:rPr>
            </w:pPr>
            <w:r>
              <w:rPr>
                <w:bCs/>
                <w:color w:val="000000"/>
                <w:sz w:val="22"/>
                <w:szCs w:val="22"/>
                <w:lang w:eastAsia="en-US"/>
              </w:rPr>
              <w:t>Clases teórico magistrales en el contexto de un grupo grande (hasta 40 estudiantes)</w:t>
            </w:r>
          </w:p>
          <w:p w:rsidR="00C6270E" w:rsidRDefault="00C6270E" w:rsidP="00F7476E">
            <w:pPr>
              <w:numPr>
                <w:ilvl w:val="0"/>
                <w:numId w:val="2"/>
              </w:numPr>
              <w:autoSpaceDE w:val="0"/>
              <w:autoSpaceDN w:val="0"/>
              <w:adjustRightInd w:val="0"/>
              <w:spacing w:line="276" w:lineRule="auto"/>
              <w:ind w:left="194" w:hanging="194"/>
              <w:jc w:val="both"/>
              <w:rPr>
                <w:bCs/>
                <w:color w:val="000000"/>
                <w:lang w:eastAsia="en-US"/>
              </w:rPr>
            </w:pPr>
            <w:r>
              <w:rPr>
                <w:bCs/>
                <w:color w:val="000000"/>
                <w:sz w:val="22"/>
                <w:szCs w:val="22"/>
                <w:lang w:eastAsia="en-US"/>
              </w:rPr>
              <w:t>Seminarios, prácticas en el aula y trabajos dirigidos y supervisados por el profesor/a</w:t>
            </w:r>
          </w:p>
          <w:p w:rsidR="00C6270E" w:rsidRDefault="00C6270E" w:rsidP="00F7476E">
            <w:pPr>
              <w:numPr>
                <w:ilvl w:val="0"/>
                <w:numId w:val="2"/>
              </w:numPr>
              <w:autoSpaceDE w:val="0"/>
              <w:autoSpaceDN w:val="0"/>
              <w:adjustRightInd w:val="0"/>
              <w:spacing w:line="276" w:lineRule="auto"/>
              <w:ind w:left="194" w:hanging="194"/>
              <w:jc w:val="both"/>
              <w:rPr>
                <w:bCs/>
                <w:color w:val="000000"/>
                <w:lang w:eastAsia="en-US"/>
              </w:rPr>
            </w:pPr>
            <w:r>
              <w:rPr>
                <w:bCs/>
                <w:color w:val="000000"/>
                <w:sz w:val="22"/>
                <w:szCs w:val="22"/>
                <w:lang w:eastAsia="en-US"/>
              </w:rPr>
              <w:t>Trabajo autónomo del/de la estudiante</w:t>
            </w:r>
          </w:p>
          <w:p w:rsidR="00C6270E" w:rsidRDefault="00C6270E" w:rsidP="00F7476E">
            <w:pPr>
              <w:numPr>
                <w:ilvl w:val="0"/>
                <w:numId w:val="2"/>
              </w:numPr>
              <w:autoSpaceDE w:val="0"/>
              <w:autoSpaceDN w:val="0"/>
              <w:adjustRightInd w:val="0"/>
              <w:spacing w:line="276" w:lineRule="auto"/>
              <w:ind w:left="194" w:hanging="194"/>
              <w:jc w:val="both"/>
              <w:rPr>
                <w:b/>
                <w:lang w:eastAsia="en-US"/>
              </w:rPr>
            </w:pPr>
            <w:r>
              <w:rPr>
                <w:bCs/>
                <w:color w:val="000000"/>
                <w:sz w:val="22"/>
                <w:szCs w:val="22"/>
                <w:lang w:eastAsia="en-US"/>
              </w:rPr>
              <w:t>Tutorías y supervisión académica</w:t>
            </w:r>
          </w:p>
          <w:p w:rsidR="00C6270E" w:rsidRDefault="00C6270E" w:rsidP="00C6270E">
            <w:pPr>
              <w:autoSpaceDE w:val="0"/>
              <w:autoSpaceDN w:val="0"/>
              <w:adjustRightInd w:val="0"/>
              <w:spacing w:line="276" w:lineRule="auto"/>
              <w:ind w:left="194"/>
              <w:jc w:val="both"/>
              <w:rPr>
                <w:bCs/>
                <w:color w:val="000000"/>
                <w:lang w:eastAsia="en-US"/>
              </w:rPr>
            </w:pPr>
          </w:p>
        </w:tc>
      </w:tr>
      <w:tr w:rsidR="00C6270E" w:rsidTr="006E617E">
        <w:tc>
          <w:tcPr>
            <w:tcW w:w="4967" w:type="dxa"/>
            <w:tcBorders>
              <w:top w:val="single" w:sz="4" w:space="0" w:color="auto"/>
              <w:left w:val="single" w:sz="4" w:space="0" w:color="auto"/>
              <w:bottom w:val="single" w:sz="4" w:space="0" w:color="auto"/>
              <w:right w:val="single" w:sz="4" w:space="0" w:color="auto"/>
            </w:tcBorders>
            <w:hideMark/>
          </w:tcPr>
          <w:p w:rsidR="00C6270E" w:rsidRDefault="00C6270E">
            <w:pPr>
              <w:autoSpaceDE w:val="0"/>
              <w:autoSpaceDN w:val="0"/>
              <w:adjustRightInd w:val="0"/>
              <w:spacing w:line="276" w:lineRule="auto"/>
              <w:jc w:val="both"/>
              <w:rPr>
                <w:lang w:eastAsia="en-US"/>
              </w:rPr>
            </w:pPr>
          </w:p>
        </w:tc>
        <w:tc>
          <w:tcPr>
            <w:tcW w:w="0" w:type="auto"/>
            <w:vMerge/>
            <w:tcBorders>
              <w:left w:val="single" w:sz="4" w:space="0" w:color="auto"/>
              <w:right w:val="single" w:sz="4" w:space="0" w:color="auto"/>
            </w:tcBorders>
            <w:vAlign w:val="center"/>
            <w:hideMark/>
          </w:tcPr>
          <w:p w:rsidR="00C6270E" w:rsidRDefault="00C6270E">
            <w:pPr>
              <w:rPr>
                <w:bCs/>
                <w:color w:val="000000"/>
                <w:lang w:eastAsia="en-US"/>
              </w:rPr>
            </w:pPr>
          </w:p>
        </w:tc>
      </w:tr>
      <w:tr w:rsidR="00C6270E" w:rsidTr="006E617E">
        <w:tc>
          <w:tcPr>
            <w:tcW w:w="4967" w:type="dxa"/>
            <w:tcBorders>
              <w:top w:val="single" w:sz="4" w:space="0" w:color="auto"/>
              <w:left w:val="single" w:sz="4" w:space="0" w:color="auto"/>
              <w:bottom w:val="single" w:sz="4" w:space="0" w:color="auto"/>
              <w:right w:val="single" w:sz="4" w:space="0" w:color="auto"/>
            </w:tcBorders>
            <w:hideMark/>
          </w:tcPr>
          <w:p w:rsidR="00C6270E" w:rsidRDefault="00C6270E">
            <w:pPr>
              <w:autoSpaceDE w:val="0"/>
              <w:autoSpaceDN w:val="0"/>
              <w:adjustRightInd w:val="0"/>
              <w:spacing w:line="276" w:lineRule="auto"/>
              <w:jc w:val="both"/>
              <w:rPr>
                <w:lang w:eastAsia="en-US"/>
              </w:rPr>
            </w:pPr>
          </w:p>
        </w:tc>
        <w:tc>
          <w:tcPr>
            <w:tcW w:w="0" w:type="auto"/>
            <w:vMerge/>
            <w:tcBorders>
              <w:left w:val="single" w:sz="4" w:space="0" w:color="auto"/>
              <w:right w:val="single" w:sz="4" w:space="0" w:color="auto"/>
            </w:tcBorders>
            <w:vAlign w:val="center"/>
            <w:hideMark/>
          </w:tcPr>
          <w:p w:rsidR="00C6270E" w:rsidRDefault="00C6270E">
            <w:pPr>
              <w:rPr>
                <w:bCs/>
                <w:color w:val="000000"/>
                <w:lang w:eastAsia="en-US"/>
              </w:rPr>
            </w:pPr>
          </w:p>
        </w:tc>
      </w:tr>
      <w:tr w:rsidR="00C6270E" w:rsidTr="006E617E">
        <w:tc>
          <w:tcPr>
            <w:tcW w:w="4967" w:type="dxa"/>
            <w:tcBorders>
              <w:top w:val="single" w:sz="4" w:space="0" w:color="auto"/>
              <w:left w:val="single" w:sz="4" w:space="0" w:color="auto"/>
              <w:bottom w:val="single" w:sz="4" w:space="0" w:color="auto"/>
              <w:right w:val="single" w:sz="4" w:space="0" w:color="auto"/>
            </w:tcBorders>
            <w:hideMark/>
          </w:tcPr>
          <w:p w:rsidR="00C6270E" w:rsidRDefault="00C6270E">
            <w:pPr>
              <w:autoSpaceDE w:val="0"/>
              <w:autoSpaceDN w:val="0"/>
              <w:adjustRightInd w:val="0"/>
              <w:spacing w:line="276" w:lineRule="auto"/>
              <w:jc w:val="both"/>
              <w:rPr>
                <w:lang w:eastAsia="en-US"/>
              </w:rPr>
            </w:pPr>
          </w:p>
        </w:tc>
        <w:tc>
          <w:tcPr>
            <w:tcW w:w="0" w:type="auto"/>
            <w:vMerge/>
            <w:tcBorders>
              <w:left w:val="single" w:sz="4" w:space="0" w:color="auto"/>
              <w:right w:val="single" w:sz="4" w:space="0" w:color="auto"/>
            </w:tcBorders>
            <w:vAlign w:val="center"/>
            <w:hideMark/>
          </w:tcPr>
          <w:p w:rsidR="00C6270E" w:rsidRDefault="00C6270E">
            <w:pPr>
              <w:rPr>
                <w:bCs/>
                <w:color w:val="000000"/>
                <w:lang w:eastAsia="en-US"/>
              </w:rPr>
            </w:pPr>
          </w:p>
        </w:tc>
      </w:tr>
      <w:tr w:rsidR="00C6270E" w:rsidTr="006E617E">
        <w:tc>
          <w:tcPr>
            <w:tcW w:w="4967" w:type="dxa"/>
            <w:tcBorders>
              <w:top w:val="single" w:sz="4" w:space="0" w:color="auto"/>
              <w:left w:val="single" w:sz="4" w:space="0" w:color="auto"/>
              <w:bottom w:val="single" w:sz="4" w:space="0" w:color="auto"/>
              <w:right w:val="single" w:sz="4" w:space="0" w:color="auto"/>
            </w:tcBorders>
            <w:hideMark/>
          </w:tcPr>
          <w:p w:rsidR="00C6270E" w:rsidRDefault="00C6270E">
            <w:pPr>
              <w:autoSpaceDE w:val="0"/>
              <w:autoSpaceDN w:val="0"/>
              <w:adjustRightInd w:val="0"/>
              <w:spacing w:line="276" w:lineRule="auto"/>
              <w:jc w:val="both"/>
              <w:rPr>
                <w:lang w:eastAsia="en-US"/>
              </w:rPr>
            </w:pPr>
          </w:p>
        </w:tc>
        <w:tc>
          <w:tcPr>
            <w:tcW w:w="0" w:type="auto"/>
            <w:vMerge/>
            <w:tcBorders>
              <w:left w:val="single" w:sz="4" w:space="0" w:color="auto"/>
              <w:right w:val="single" w:sz="4" w:space="0" w:color="auto"/>
            </w:tcBorders>
            <w:vAlign w:val="center"/>
            <w:hideMark/>
          </w:tcPr>
          <w:p w:rsidR="00C6270E" w:rsidRDefault="00C6270E">
            <w:pPr>
              <w:rPr>
                <w:bCs/>
                <w:color w:val="000000"/>
                <w:lang w:eastAsia="en-US"/>
              </w:rPr>
            </w:pPr>
          </w:p>
        </w:tc>
      </w:tr>
      <w:tr w:rsidR="00C6270E" w:rsidTr="006E617E">
        <w:tc>
          <w:tcPr>
            <w:tcW w:w="4967" w:type="dxa"/>
            <w:tcBorders>
              <w:top w:val="single" w:sz="4" w:space="0" w:color="auto"/>
              <w:left w:val="single" w:sz="4" w:space="0" w:color="auto"/>
              <w:bottom w:val="single" w:sz="4" w:space="0" w:color="auto"/>
              <w:right w:val="single" w:sz="4" w:space="0" w:color="auto"/>
            </w:tcBorders>
            <w:hideMark/>
          </w:tcPr>
          <w:p w:rsidR="00C6270E" w:rsidRDefault="00C6270E">
            <w:pPr>
              <w:autoSpaceDE w:val="0"/>
              <w:autoSpaceDN w:val="0"/>
              <w:adjustRightInd w:val="0"/>
              <w:spacing w:line="276" w:lineRule="auto"/>
              <w:jc w:val="both"/>
              <w:rPr>
                <w:lang w:eastAsia="en-US"/>
              </w:rPr>
            </w:pPr>
          </w:p>
        </w:tc>
        <w:tc>
          <w:tcPr>
            <w:tcW w:w="0" w:type="auto"/>
            <w:vMerge/>
            <w:tcBorders>
              <w:left w:val="single" w:sz="4" w:space="0" w:color="auto"/>
              <w:right w:val="single" w:sz="4" w:space="0" w:color="auto"/>
            </w:tcBorders>
            <w:vAlign w:val="center"/>
            <w:hideMark/>
          </w:tcPr>
          <w:p w:rsidR="00C6270E" w:rsidRDefault="00C6270E">
            <w:pPr>
              <w:rPr>
                <w:bCs/>
                <w:color w:val="000000"/>
                <w:lang w:eastAsia="en-US"/>
              </w:rPr>
            </w:pPr>
          </w:p>
        </w:tc>
      </w:tr>
      <w:tr w:rsidR="00C6270E" w:rsidTr="006E617E">
        <w:tc>
          <w:tcPr>
            <w:tcW w:w="4967" w:type="dxa"/>
            <w:tcBorders>
              <w:top w:val="single" w:sz="4" w:space="0" w:color="auto"/>
              <w:left w:val="single" w:sz="4" w:space="0" w:color="auto"/>
              <w:bottom w:val="single" w:sz="4" w:space="0" w:color="auto"/>
              <w:right w:val="single" w:sz="4" w:space="0" w:color="auto"/>
            </w:tcBorders>
            <w:hideMark/>
          </w:tcPr>
          <w:p w:rsidR="00C6270E" w:rsidRDefault="00C6270E" w:rsidP="00F7476E">
            <w:pPr>
              <w:autoSpaceDE w:val="0"/>
              <w:autoSpaceDN w:val="0"/>
              <w:adjustRightInd w:val="0"/>
              <w:jc w:val="both"/>
              <w:rPr>
                <w:color w:val="000000"/>
              </w:rPr>
            </w:pPr>
            <w:r>
              <w:rPr>
                <w:sz w:val="22"/>
              </w:rPr>
              <w:t>Conocer los métodos y modelos de planificación en Servicios sociales como instrumento de la política de bienestar social</w:t>
            </w:r>
          </w:p>
        </w:tc>
        <w:tc>
          <w:tcPr>
            <w:tcW w:w="0" w:type="auto"/>
            <w:vMerge/>
            <w:tcBorders>
              <w:left w:val="single" w:sz="4" w:space="0" w:color="auto"/>
              <w:right w:val="single" w:sz="4" w:space="0" w:color="auto"/>
            </w:tcBorders>
            <w:vAlign w:val="center"/>
            <w:hideMark/>
          </w:tcPr>
          <w:p w:rsidR="00C6270E" w:rsidRDefault="00C6270E">
            <w:pPr>
              <w:rPr>
                <w:bCs/>
                <w:color w:val="000000"/>
                <w:lang w:eastAsia="en-US"/>
              </w:rPr>
            </w:pPr>
          </w:p>
        </w:tc>
      </w:tr>
      <w:tr w:rsidR="00C6270E" w:rsidTr="006E617E">
        <w:tc>
          <w:tcPr>
            <w:tcW w:w="4967" w:type="dxa"/>
            <w:tcBorders>
              <w:top w:val="single" w:sz="4" w:space="0" w:color="auto"/>
              <w:left w:val="single" w:sz="4" w:space="0" w:color="auto"/>
              <w:bottom w:val="single" w:sz="4" w:space="0" w:color="auto"/>
              <w:right w:val="single" w:sz="4" w:space="0" w:color="auto"/>
            </w:tcBorders>
          </w:tcPr>
          <w:p w:rsidR="00C6270E" w:rsidRDefault="00C6270E" w:rsidP="00F7476E">
            <w:pPr>
              <w:autoSpaceDE w:val="0"/>
              <w:autoSpaceDN w:val="0"/>
              <w:adjustRightInd w:val="0"/>
              <w:jc w:val="both"/>
              <w:rPr>
                <w:color w:val="000000"/>
              </w:rPr>
            </w:pPr>
            <w:r>
              <w:rPr>
                <w:sz w:val="22"/>
                <w:szCs w:val="22"/>
              </w:rPr>
              <w:t xml:space="preserve">Explicar las distintas </w:t>
            </w:r>
            <w:r>
              <w:rPr>
                <w:sz w:val="22"/>
              </w:rPr>
              <w:t>herramientas y soportes existentes para la planificación</w:t>
            </w:r>
            <w:r>
              <w:rPr>
                <w:sz w:val="22"/>
                <w:szCs w:val="22"/>
              </w:rPr>
              <w:t xml:space="preserve"> del Sistema de Servicios sociales  </w:t>
            </w:r>
          </w:p>
        </w:tc>
        <w:tc>
          <w:tcPr>
            <w:tcW w:w="0" w:type="auto"/>
            <w:vMerge/>
            <w:tcBorders>
              <w:left w:val="single" w:sz="4" w:space="0" w:color="auto"/>
              <w:right w:val="single" w:sz="4" w:space="0" w:color="auto"/>
            </w:tcBorders>
            <w:vAlign w:val="center"/>
          </w:tcPr>
          <w:p w:rsidR="00C6270E" w:rsidRDefault="00C6270E">
            <w:pPr>
              <w:rPr>
                <w:bCs/>
                <w:color w:val="000000"/>
                <w:lang w:eastAsia="en-US"/>
              </w:rPr>
            </w:pPr>
          </w:p>
        </w:tc>
      </w:tr>
      <w:tr w:rsidR="00C6270E" w:rsidTr="006E617E">
        <w:tc>
          <w:tcPr>
            <w:tcW w:w="4967" w:type="dxa"/>
            <w:tcBorders>
              <w:top w:val="single" w:sz="4" w:space="0" w:color="auto"/>
              <w:left w:val="single" w:sz="4" w:space="0" w:color="auto"/>
              <w:bottom w:val="single" w:sz="4" w:space="0" w:color="auto"/>
              <w:right w:val="single" w:sz="4" w:space="0" w:color="auto"/>
            </w:tcBorders>
          </w:tcPr>
          <w:p w:rsidR="00C6270E" w:rsidRDefault="00C6270E" w:rsidP="00F7476E">
            <w:pPr>
              <w:autoSpaceDE w:val="0"/>
              <w:autoSpaceDN w:val="0"/>
              <w:adjustRightInd w:val="0"/>
              <w:jc w:val="both"/>
              <w:rPr>
                <w:color w:val="000000"/>
              </w:rPr>
            </w:pPr>
            <w:r>
              <w:rPr>
                <w:sz w:val="22"/>
              </w:rPr>
              <w:t>Conocer los sistemas de calidad existentes en servicios sociales</w:t>
            </w:r>
            <w:r>
              <w:rPr>
                <w:sz w:val="22"/>
                <w:szCs w:val="22"/>
              </w:rPr>
              <w:t xml:space="preserve"> tanto en el ámbito público como privado en los servicios sociales</w:t>
            </w:r>
          </w:p>
        </w:tc>
        <w:tc>
          <w:tcPr>
            <w:tcW w:w="0" w:type="auto"/>
            <w:vMerge/>
            <w:tcBorders>
              <w:left w:val="single" w:sz="4" w:space="0" w:color="auto"/>
              <w:right w:val="single" w:sz="4" w:space="0" w:color="auto"/>
            </w:tcBorders>
            <w:vAlign w:val="center"/>
          </w:tcPr>
          <w:p w:rsidR="00C6270E" w:rsidRDefault="00C6270E">
            <w:pPr>
              <w:rPr>
                <w:bCs/>
                <w:color w:val="000000"/>
                <w:lang w:eastAsia="en-US"/>
              </w:rPr>
            </w:pPr>
          </w:p>
        </w:tc>
      </w:tr>
      <w:tr w:rsidR="00C6270E" w:rsidTr="0048773E">
        <w:tc>
          <w:tcPr>
            <w:tcW w:w="4967" w:type="dxa"/>
            <w:tcBorders>
              <w:top w:val="single" w:sz="4" w:space="0" w:color="auto"/>
              <w:left w:val="single" w:sz="4" w:space="0" w:color="auto"/>
              <w:bottom w:val="single" w:sz="4" w:space="0" w:color="auto"/>
              <w:right w:val="single" w:sz="4" w:space="0" w:color="auto"/>
            </w:tcBorders>
          </w:tcPr>
          <w:p w:rsidR="00C6270E" w:rsidRDefault="00C6270E" w:rsidP="00F7476E">
            <w:pPr>
              <w:autoSpaceDE w:val="0"/>
              <w:autoSpaceDN w:val="0"/>
              <w:adjustRightInd w:val="0"/>
              <w:jc w:val="both"/>
              <w:rPr>
                <w:color w:val="000000"/>
              </w:rPr>
            </w:pPr>
            <w:r>
              <w:rPr>
                <w:sz w:val="22"/>
                <w:szCs w:val="18"/>
              </w:rPr>
              <w:t>Diferenciar e interrelacionar</w:t>
            </w:r>
            <w:r>
              <w:rPr>
                <w:sz w:val="22"/>
                <w:szCs w:val="22"/>
              </w:rPr>
              <w:t xml:space="preserve"> la normativa existente respecto a la planificación y calidad en los servicios sociales</w:t>
            </w:r>
          </w:p>
        </w:tc>
        <w:tc>
          <w:tcPr>
            <w:tcW w:w="0" w:type="auto"/>
            <w:vMerge/>
            <w:tcBorders>
              <w:left w:val="single" w:sz="4" w:space="0" w:color="auto"/>
              <w:right w:val="single" w:sz="4" w:space="0" w:color="auto"/>
            </w:tcBorders>
            <w:vAlign w:val="center"/>
          </w:tcPr>
          <w:p w:rsidR="00C6270E" w:rsidRDefault="00C6270E">
            <w:pPr>
              <w:rPr>
                <w:bCs/>
                <w:color w:val="000000"/>
                <w:lang w:eastAsia="en-US"/>
              </w:rPr>
            </w:pPr>
          </w:p>
        </w:tc>
      </w:tr>
      <w:tr w:rsidR="00C6270E" w:rsidTr="0048773E">
        <w:tc>
          <w:tcPr>
            <w:tcW w:w="4967" w:type="dxa"/>
            <w:tcBorders>
              <w:top w:val="single" w:sz="4" w:space="0" w:color="auto"/>
              <w:left w:val="single" w:sz="4" w:space="0" w:color="auto"/>
              <w:bottom w:val="single" w:sz="4" w:space="0" w:color="auto"/>
              <w:right w:val="single" w:sz="4" w:space="0" w:color="auto"/>
            </w:tcBorders>
          </w:tcPr>
          <w:p w:rsidR="00C6270E" w:rsidRDefault="00C6270E" w:rsidP="00F7476E">
            <w:pPr>
              <w:autoSpaceDE w:val="0"/>
              <w:autoSpaceDN w:val="0"/>
              <w:adjustRightInd w:val="0"/>
              <w:jc w:val="both"/>
              <w:rPr>
                <w:color w:val="000000"/>
              </w:rPr>
            </w:pPr>
            <w:r>
              <w:rPr>
                <w:sz w:val="22"/>
              </w:rPr>
              <w:t>Utilizar el cuadro de mandos como forma de monitorización de la implantación de la planificación estratégica</w:t>
            </w:r>
          </w:p>
        </w:tc>
        <w:tc>
          <w:tcPr>
            <w:tcW w:w="0" w:type="auto"/>
            <w:vMerge/>
            <w:tcBorders>
              <w:left w:val="single" w:sz="4" w:space="0" w:color="auto"/>
              <w:bottom w:val="single" w:sz="4" w:space="0" w:color="auto"/>
              <w:right w:val="single" w:sz="4" w:space="0" w:color="auto"/>
            </w:tcBorders>
            <w:vAlign w:val="center"/>
          </w:tcPr>
          <w:p w:rsidR="00C6270E" w:rsidRDefault="00C6270E">
            <w:pPr>
              <w:rPr>
                <w:bCs/>
                <w:color w:val="000000"/>
                <w:lang w:eastAsia="en-US"/>
              </w:rPr>
            </w:pPr>
          </w:p>
        </w:tc>
      </w:tr>
    </w:tbl>
    <w:p w:rsidR="002E59DB" w:rsidRDefault="002E59DB" w:rsidP="002E59DB"/>
    <w:p w:rsidR="002E59DB" w:rsidRDefault="002E59DB" w:rsidP="002E59DB"/>
    <w:tbl>
      <w:tblPr>
        <w:tblStyle w:val="Tablaconcuadrcula"/>
        <w:tblW w:w="0" w:type="auto"/>
        <w:tblLook w:val="04A0"/>
      </w:tblPr>
      <w:tblGrid>
        <w:gridCol w:w="5070"/>
        <w:gridCol w:w="1417"/>
        <w:gridCol w:w="2157"/>
      </w:tblGrid>
      <w:tr w:rsidR="002E59DB" w:rsidTr="002E59DB">
        <w:tc>
          <w:tcPr>
            <w:tcW w:w="8644" w:type="dxa"/>
            <w:gridSpan w:val="3"/>
            <w:tcBorders>
              <w:top w:val="single" w:sz="4" w:space="0" w:color="auto"/>
              <w:left w:val="single" w:sz="4" w:space="0" w:color="auto"/>
              <w:bottom w:val="single" w:sz="4" w:space="0" w:color="auto"/>
              <w:right w:val="single" w:sz="4" w:space="0" w:color="auto"/>
            </w:tcBorders>
          </w:tcPr>
          <w:p w:rsidR="002E59DB" w:rsidRDefault="002E59DB">
            <w:pPr>
              <w:jc w:val="center"/>
              <w:rPr>
                <w:b/>
                <w:lang w:eastAsia="en-US"/>
              </w:rPr>
            </w:pPr>
            <w:r>
              <w:rPr>
                <w:b/>
                <w:lang w:eastAsia="en-US"/>
              </w:rPr>
              <w:t>RESUMEN DE LAS ACTIVIDADES FORMATIVAS</w:t>
            </w:r>
          </w:p>
          <w:p w:rsidR="002E59DB" w:rsidRDefault="002E59DB">
            <w:pPr>
              <w:rPr>
                <w:lang w:eastAsia="en-US"/>
              </w:rPr>
            </w:pPr>
          </w:p>
        </w:tc>
      </w:tr>
      <w:tr w:rsidR="002E59DB" w:rsidTr="002E59DB">
        <w:tc>
          <w:tcPr>
            <w:tcW w:w="5070"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b/>
                <w:lang w:eastAsia="en-US"/>
              </w:rPr>
            </w:pPr>
            <w:r>
              <w:rPr>
                <w:b/>
                <w:lang w:eastAsia="en-US"/>
              </w:rPr>
              <w:t>Actividad Formativa</w:t>
            </w:r>
          </w:p>
        </w:tc>
        <w:tc>
          <w:tcPr>
            <w:tcW w:w="141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b/>
                <w:lang w:eastAsia="en-US"/>
              </w:rPr>
            </w:pPr>
            <w:r>
              <w:rPr>
                <w:b/>
                <w:lang w:eastAsia="en-US"/>
              </w:rPr>
              <w:t>ECTS</w:t>
            </w:r>
          </w:p>
        </w:tc>
        <w:tc>
          <w:tcPr>
            <w:tcW w:w="215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b/>
                <w:lang w:eastAsia="en-US"/>
              </w:rPr>
            </w:pPr>
            <w:r>
              <w:rPr>
                <w:b/>
                <w:lang w:eastAsia="en-US"/>
              </w:rPr>
              <w:t>Porcentaje</w:t>
            </w:r>
          </w:p>
        </w:tc>
      </w:tr>
      <w:tr w:rsidR="002E59DB" w:rsidTr="002E59DB">
        <w:tc>
          <w:tcPr>
            <w:tcW w:w="5070" w:type="dxa"/>
            <w:tcBorders>
              <w:top w:val="single" w:sz="4" w:space="0" w:color="auto"/>
              <w:left w:val="single" w:sz="4" w:space="0" w:color="auto"/>
              <w:bottom w:val="single" w:sz="4" w:space="0" w:color="auto"/>
              <w:right w:val="single" w:sz="4" w:space="0" w:color="auto"/>
            </w:tcBorders>
            <w:hideMark/>
          </w:tcPr>
          <w:p w:rsidR="002E59DB" w:rsidRDefault="002E59DB">
            <w:pPr>
              <w:rPr>
                <w:lang w:eastAsia="en-US"/>
              </w:rPr>
            </w:pPr>
            <w:r>
              <w:rPr>
                <w:lang w:eastAsia="en-US"/>
              </w:rPr>
              <w:t>Clases teórico – magistrales en el contexto de un grupo grande</w:t>
            </w:r>
          </w:p>
        </w:tc>
        <w:tc>
          <w:tcPr>
            <w:tcW w:w="141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1,5</w:t>
            </w:r>
          </w:p>
        </w:tc>
        <w:tc>
          <w:tcPr>
            <w:tcW w:w="215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25%</w:t>
            </w:r>
          </w:p>
        </w:tc>
      </w:tr>
      <w:tr w:rsidR="002E59DB" w:rsidTr="002E59DB">
        <w:tc>
          <w:tcPr>
            <w:tcW w:w="5070" w:type="dxa"/>
            <w:tcBorders>
              <w:top w:val="single" w:sz="4" w:space="0" w:color="auto"/>
              <w:left w:val="single" w:sz="4" w:space="0" w:color="auto"/>
              <w:bottom w:val="single" w:sz="4" w:space="0" w:color="auto"/>
              <w:right w:val="single" w:sz="4" w:space="0" w:color="auto"/>
            </w:tcBorders>
            <w:hideMark/>
          </w:tcPr>
          <w:p w:rsidR="002E59DB" w:rsidRDefault="002E59DB">
            <w:pPr>
              <w:rPr>
                <w:lang w:eastAsia="en-US"/>
              </w:rPr>
            </w:pPr>
            <w:r>
              <w:rPr>
                <w:lang w:eastAsia="en-US"/>
              </w:rPr>
              <w:t>Prácticas y trabajos dirigidos en el aula</w:t>
            </w:r>
          </w:p>
        </w:tc>
        <w:tc>
          <w:tcPr>
            <w:tcW w:w="141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1</w:t>
            </w:r>
          </w:p>
        </w:tc>
        <w:tc>
          <w:tcPr>
            <w:tcW w:w="215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16,7 %</w:t>
            </w:r>
          </w:p>
        </w:tc>
      </w:tr>
      <w:tr w:rsidR="002E59DB" w:rsidTr="002E59DB">
        <w:tc>
          <w:tcPr>
            <w:tcW w:w="5070" w:type="dxa"/>
            <w:tcBorders>
              <w:top w:val="single" w:sz="4" w:space="0" w:color="auto"/>
              <w:left w:val="single" w:sz="4" w:space="0" w:color="auto"/>
              <w:bottom w:val="single" w:sz="4" w:space="0" w:color="auto"/>
              <w:right w:val="single" w:sz="4" w:space="0" w:color="auto"/>
            </w:tcBorders>
            <w:hideMark/>
          </w:tcPr>
          <w:p w:rsidR="002E59DB" w:rsidRDefault="002E59DB">
            <w:pPr>
              <w:rPr>
                <w:lang w:eastAsia="en-US"/>
              </w:rPr>
            </w:pPr>
            <w:r>
              <w:rPr>
                <w:lang w:eastAsia="en-US"/>
              </w:rPr>
              <w:t>Trabajo autónomo del estudiante</w:t>
            </w:r>
          </w:p>
        </w:tc>
        <w:tc>
          <w:tcPr>
            <w:tcW w:w="141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3</w:t>
            </w:r>
          </w:p>
        </w:tc>
        <w:tc>
          <w:tcPr>
            <w:tcW w:w="215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50 %</w:t>
            </w:r>
          </w:p>
        </w:tc>
      </w:tr>
      <w:tr w:rsidR="002E59DB" w:rsidTr="002E59DB">
        <w:tc>
          <w:tcPr>
            <w:tcW w:w="5070" w:type="dxa"/>
            <w:tcBorders>
              <w:top w:val="single" w:sz="4" w:space="0" w:color="auto"/>
              <w:left w:val="single" w:sz="4" w:space="0" w:color="auto"/>
              <w:bottom w:val="single" w:sz="4" w:space="0" w:color="auto"/>
              <w:right w:val="single" w:sz="4" w:space="0" w:color="auto"/>
            </w:tcBorders>
            <w:hideMark/>
          </w:tcPr>
          <w:p w:rsidR="002E59DB" w:rsidRDefault="002E59DB">
            <w:pPr>
              <w:rPr>
                <w:lang w:eastAsia="en-US"/>
              </w:rPr>
            </w:pPr>
            <w:r>
              <w:rPr>
                <w:lang w:eastAsia="en-US"/>
              </w:rPr>
              <w:t>Tutorías y supervisión académica</w:t>
            </w:r>
          </w:p>
        </w:tc>
        <w:tc>
          <w:tcPr>
            <w:tcW w:w="141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0,3</w:t>
            </w:r>
          </w:p>
        </w:tc>
        <w:tc>
          <w:tcPr>
            <w:tcW w:w="215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5 %</w:t>
            </w:r>
          </w:p>
        </w:tc>
      </w:tr>
      <w:tr w:rsidR="002E59DB" w:rsidTr="002E59DB">
        <w:tc>
          <w:tcPr>
            <w:tcW w:w="5070" w:type="dxa"/>
            <w:tcBorders>
              <w:top w:val="single" w:sz="4" w:space="0" w:color="auto"/>
              <w:left w:val="single" w:sz="4" w:space="0" w:color="auto"/>
              <w:bottom w:val="single" w:sz="4" w:space="0" w:color="auto"/>
              <w:right w:val="single" w:sz="4" w:space="0" w:color="auto"/>
            </w:tcBorders>
            <w:hideMark/>
          </w:tcPr>
          <w:p w:rsidR="002E59DB" w:rsidRDefault="002E59DB">
            <w:pPr>
              <w:rPr>
                <w:lang w:eastAsia="en-US"/>
              </w:rPr>
            </w:pPr>
            <w:r>
              <w:rPr>
                <w:lang w:eastAsia="en-US"/>
              </w:rPr>
              <w:t>Actividades de evaluación</w:t>
            </w:r>
          </w:p>
        </w:tc>
        <w:tc>
          <w:tcPr>
            <w:tcW w:w="141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0,2</w:t>
            </w:r>
          </w:p>
        </w:tc>
        <w:tc>
          <w:tcPr>
            <w:tcW w:w="215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3,3 %</w:t>
            </w:r>
          </w:p>
        </w:tc>
      </w:tr>
      <w:tr w:rsidR="002E59DB" w:rsidTr="002E59DB">
        <w:tc>
          <w:tcPr>
            <w:tcW w:w="5070" w:type="dxa"/>
            <w:tcBorders>
              <w:top w:val="single" w:sz="4" w:space="0" w:color="auto"/>
              <w:left w:val="single" w:sz="4" w:space="0" w:color="auto"/>
              <w:bottom w:val="single" w:sz="4" w:space="0" w:color="auto"/>
              <w:right w:val="single" w:sz="4" w:space="0" w:color="auto"/>
            </w:tcBorders>
            <w:hideMark/>
          </w:tcPr>
          <w:p w:rsidR="002E59DB" w:rsidRDefault="002E59DB">
            <w:pPr>
              <w:rPr>
                <w:lang w:eastAsia="en-US"/>
              </w:rPr>
            </w:pPr>
            <w:r>
              <w:rPr>
                <w:lang w:eastAsia="en-US"/>
              </w:rPr>
              <w:t>Total</w:t>
            </w:r>
          </w:p>
        </w:tc>
        <w:tc>
          <w:tcPr>
            <w:tcW w:w="141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6</w:t>
            </w:r>
          </w:p>
        </w:tc>
        <w:tc>
          <w:tcPr>
            <w:tcW w:w="2157" w:type="dxa"/>
            <w:tcBorders>
              <w:top w:val="single" w:sz="4" w:space="0" w:color="auto"/>
              <w:left w:val="single" w:sz="4" w:space="0" w:color="auto"/>
              <w:bottom w:val="single" w:sz="4" w:space="0" w:color="auto"/>
              <w:right w:val="single" w:sz="4" w:space="0" w:color="auto"/>
            </w:tcBorders>
            <w:hideMark/>
          </w:tcPr>
          <w:p w:rsidR="002E59DB" w:rsidRDefault="002E59DB">
            <w:pPr>
              <w:jc w:val="center"/>
              <w:rPr>
                <w:lang w:eastAsia="en-US"/>
              </w:rPr>
            </w:pPr>
            <w:r>
              <w:rPr>
                <w:lang w:eastAsia="en-US"/>
              </w:rPr>
              <w:t>100 %</w:t>
            </w:r>
          </w:p>
        </w:tc>
      </w:tr>
    </w:tbl>
    <w:p w:rsidR="002E59DB" w:rsidRDefault="002E59DB" w:rsidP="002E59DB"/>
    <w:p w:rsidR="002E59DB" w:rsidRDefault="002E59DB" w:rsidP="002E59DB"/>
    <w:p w:rsidR="002E59DB" w:rsidRDefault="002E59DB" w:rsidP="002E59DB"/>
    <w:p w:rsidR="002E59DB" w:rsidRDefault="002E59DB" w:rsidP="002E59DB">
      <w:pPr>
        <w:jc w:val="center"/>
        <w:rPr>
          <w:b/>
          <w:sz w:val="40"/>
          <w:szCs w:val="40"/>
        </w:rPr>
      </w:pPr>
      <w:r>
        <w:rPr>
          <w:b/>
          <w:sz w:val="40"/>
          <w:szCs w:val="40"/>
        </w:rPr>
        <w:t>3. INSTRUMENTOS DE EVALUACIÓN Y BIBLIOGRAFÍA</w:t>
      </w:r>
    </w:p>
    <w:p w:rsidR="002E59DB" w:rsidRDefault="002E59DB" w:rsidP="002E59DB"/>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178"/>
        <w:gridCol w:w="3532"/>
      </w:tblGrid>
      <w:tr w:rsidR="002E59DB" w:rsidTr="002E59DB">
        <w:tc>
          <w:tcPr>
            <w:tcW w:w="5178" w:type="dxa"/>
            <w:tcBorders>
              <w:top w:val="single" w:sz="4" w:space="0" w:color="auto"/>
              <w:left w:val="single" w:sz="4" w:space="0" w:color="auto"/>
              <w:bottom w:val="single" w:sz="4" w:space="0" w:color="auto"/>
              <w:right w:val="single" w:sz="4" w:space="0" w:color="auto"/>
            </w:tcBorders>
            <w:hideMark/>
          </w:tcPr>
          <w:p w:rsidR="002E59DB" w:rsidRDefault="002E59DB">
            <w:pPr>
              <w:spacing w:line="276" w:lineRule="auto"/>
              <w:rPr>
                <w:b/>
                <w:i/>
                <w:lang w:val="es-ES_tradnl" w:eastAsia="en-US"/>
              </w:rPr>
            </w:pPr>
            <w:r>
              <w:rPr>
                <w:b/>
                <w:i/>
                <w:lang w:val="es-ES_tradnl" w:eastAsia="en-US"/>
              </w:rPr>
              <w:t>Sistema de evaluación</w:t>
            </w:r>
          </w:p>
        </w:tc>
        <w:tc>
          <w:tcPr>
            <w:tcW w:w="3532" w:type="dxa"/>
            <w:tcBorders>
              <w:top w:val="single" w:sz="4" w:space="0" w:color="auto"/>
              <w:left w:val="single" w:sz="4" w:space="0" w:color="auto"/>
              <w:bottom w:val="single" w:sz="4" w:space="0" w:color="auto"/>
              <w:right w:val="single" w:sz="4" w:space="0" w:color="auto"/>
            </w:tcBorders>
            <w:hideMark/>
          </w:tcPr>
          <w:p w:rsidR="002E59DB" w:rsidRDefault="002E59DB">
            <w:pPr>
              <w:spacing w:line="276" w:lineRule="auto"/>
              <w:rPr>
                <w:b/>
                <w:i/>
                <w:lang w:val="es-ES_tradnl" w:eastAsia="en-US"/>
              </w:rPr>
            </w:pPr>
            <w:r>
              <w:rPr>
                <w:b/>
                <w:i/>
                <w:lang w:val="es-ES_tradnl" w:eastAsia="en-US"/>
              </w:rPr>
              <w:t>% de la calificación</w:t>
            </w:r>
          </w:p>
        </w:tc>
      </w:tr>
      <w:tr w:rsidR="002E59DB" w:rsidTr="002E59DB">
        <w:tc>
          <w:tcPr>
            <w:tcW w:w="5178" w:type="dxa"/>
            <w:tcBorders>
              <w:top w:val="single" w:sz="4" w:space="0" w:color="auto"/>
              <w:left w:val="single" w:sz="4" w:space="0" w:color="auto"/>
              <w:bottom w:val="single" w:sz="4" w:space="0" w:color="auto"/>
              <w:right w:val="single" w:sz="4" w:space="0" w:color="auto"/>
            </w:tcBorders>
          </w:tcPr>
          <w:p w:rsidR="002E59DB" w:rsidRDefault="002E59DB">
            <w:pPr>
              <w:spacing w:line="276" w:lineRule="auto"/>
              <w:rPr>
                <w:bCs/>
                <w:i/>
                <w:lang w:val="es-ES_tradnl" w:eastAsia="en-US"/>
              </w:rPr>
            </w:pPr>
          </w:p>
          <w:p w:rsidR="002E59DB" w:rsidRDefault="002E59DB">
            <w:pPr>
              <w:spacing w:line="276" w:lineRule="auto"/>
              <w:rPr>
                <w:lang w:val="es-ES_tradnl" w:eastAsia="en-US"/>
              </w:rPr>
            </w:pPr>
            <w:r>
              <w:rPr>
                <w:bCs/>
                <w:i/>
                <w:lang w:val="es-ES_tradnl" w:eastAsia="en-US"/>
              </w:rPr>
              <w:t>Pruebas escritas de carácter individual.</w:t>
            </w:r>
            <w:r>
              <w:rPr>
                <w:lang w:val="es-ES_tradnl" w:eastAsia="en-US"/>
              </w:rPr>
              <w:t xml:space="preserve"> </w:t>
            </w:r>
          </w:p>
          <w:p w:rsidR="002E59DB" w:rsidRDefault="002E59DB">
            <w:pPr>
              <w:spacing w:line="276" w:lineRule="auto"/>
              <w:rPr>
                <w:lang w:val="es-ES_tradnl" w:eastAsia="en-US"/>
              </w:rPr>
            </w:pPr>
          </w:p>
          <w:p w:rsidR="00C6270E" w:rsidRDefault="00C6270E" w:rsidP="00C6270E">
            <w:pPr>
              <w:rPr>
                <w:lang w:val="es-ES_tradnl"/>
              </w:rPr>
            </w:pPr>
            <w:r>
              <w:rPr>
                <w:lang w:val="es-ES_tradnl"/>
              </w:rPr>
              <w:t>Se realizarán pruebas escritas de carácter individual:</w:t>
            </w:r>
          </w:p>
          <w:p w:rsidR="00C6270E" w:rsidRDefault="00C6270E" w:rsidP="00C6270E">
            <w:pPr>
              <w:numPr>
                <w:ilvl w:val="0"/>
                <w:numId w:val="5"/>
              </w:numPr>
              <w:spacing w:line="276" w:lineRule="auto"/>
              <w:jc w:val="both"/>
              <w:rPr>
                <w:lang w:val="es-ES_tradnl" w:eastAsia="en-US"/>
              </w:rPr>
            </w:pPr>
            <w:r w:rsidRPr="00C6270E">
              <w:rPr>
                <w:lang w:val="es-ES_tradnl"/>
              </w:rPr>
              <w:lastRenderedPageBreak/>
              <w:t>Resolución de ejercicios teóricos y prácticos en torno a los contenidos del módulo.</w:t>
            </w:r>
          </w:p>
          <w:p w:rsidR="002E59DB" w:rsidRPr="00C6270E" w:rsidRDefault="00C6270E" w:rsidP="00C6270E">
            <w:pPr>
              <w:numPr>
                <w:ilvl w:val="0"/>
                <w:numId w:val="5"/>
              </w:numPr>
              <w:spacing w:line="276" w:lineRule="auto"/>
              <w:jc w:val="both"/>
              <w:rPr>
                <w:lang w:val="es-ES_tradnl" w:eastAsia="en-US"/>
              </w:rPr>
            </w:pPr>
            <w:r w:rsidRPr="00C6270E">
              <w:rPr>
                <w:lang w:val="es-ES_tradnl"/>
              </w:rPr>
              <w:t>Recensión y síntesis de lecturas referidas a elementos conceptuales del modulo.</w:t>
            </w:r>
          </w:p>
          <w:p w:rsidR="002E59DB" w:rsidRDefault="002E59DB">
            <w:pPr>
              <w:spacing w:line="276" w:lineRule="auto"/>
              <w:ind w:left="360"/>
              <w:jc w:val="both"/>
              <w:rPr>
                <w:lang w:val="es-ES_tradnl" w:eastAsia="en-US"/>
              </w:rPr>
            </w:pPr>
          </w:p>
          <w:p w:rsidR="002E59DB" w:rsidRDefault="002E59DB">
            <w:pPr>
              <w:spacing w:line="276" w:lineRule="auto"/>
              <w:rPr>
                <w:i/>
                <w:lang w:val="es-ES_tradnl" w:eastAsia="en-US"/>
              </w:rPr>
            </w:pPr>
          </w:p>
        </w:tc>
        <w:tc>
          <w:tcPr>
            <w:tcW w:w="3532" w:type="dxa"/>
            <w:tcBorders>
              <w:top w:val="single" w:sz="4" w:space="0" w:color="auto"/>
              <w:left w:val="single" w:sz="4" w:space="0" w:color="auto"/>
              <w:bottom w:val="single" w:sz="4" w:space="0" w:color="auto"/>
              <w:right w:val="single" w:sz="4" w:space="0" w:color="auto"/>
            </w:tcBorders>
            <w:vAlign w:val="center"/>
            <w:hideMark/>
          </w:tcPr>
          <w:p w:rsidR="002E59DB" w:rsidRDefault="002E59DB" w:rsidP="00C6270E">
            <w:pPr>
              <w:spacing w:line="276" w:lineRule="auto"/>
              <w:jc w:val="center"/>
              <w:rPr>
                <w:i/>
                <w:lang w:val="es-ES_tradnl" w:eastAsia="en-US"/>
              </w:rPr>
            </w:pPr>
            <w:r>
              <w:rPr>
                <w:i/>
                <w:lang w:val="es-ES_tradnl" w:eastAsia="en-US"/>
              </w:rPr>
              <w:lastRenderedPageBreak/>
              <w:t>50% de la calificación</w:t>
            </w:r>
          </w:p>
        </w:tc>
      </w:tr>
      <w:tr w:rsidR="002E59DB" w:rsidTr="002E59DB">
        <w:tc>
          <w:tcPr>
            <w:tcW w:w="5178" w:type="dxa"/>
            <w:tcBorders>
              <w:top w:val="single" w:sz="4" w:space="0" w:color="auto"/>
              <w:left w:val="single" w:sz="4" w:space="0" w:color="auto"/>
              <w:bottom w:val="single" w:sz="4" w:space="0" w:color="auto"/>
              <w:right w:val="single" w:sz="4" w:space="0" w:color="auto"/>
            </w:tcBorders>
          </w:tcPr>
          <w:p w:rsidR="002E59DB" w:rsidRDefault="002E59DB">
            <w:pPr>
              <w:spacing w:line="276" w:lineRule="auto"/>
              <w:rPr>
                <w:i/>
                <w:lang w:val="es-ES_tradnl" w:eastAsia="en-US"/>
              </w:rPr>
            </w:pPr>
            <w:r>
              <w:rPr>
                <w:i/>
                <w:lang w:val="es-ES_tradnl" w:eastAsia="en-US"/>
              </w:rPr>
              <w:lastRenderedPageBreak/>
              <w:t>Pruebas escritas de carácter grupal</w:t>
            </w:r>
          </w:p>
          <w:p w:rsidR="002E59DB" w:rsidRDefault="002E59DB" w:rsidP="00F7476E">
            <w:pPr>
              <w:numPr>
                <w:ilvl w:val="0"/>
                <w:numId w:val="3"/>
              </w:numPr>
              <w:spacing w:line="276" w:lineRule="auto"/>
              <w:jc w:val="both"/>
              <w:rPr>
                <w:lang w:val="es-ES_tradnl" w:eastAsia="en-US"/>
              </w:rPr>
            </w:pPr>
            <w:r>
              <w:rPr>
                <w:lang w:val="es-ES_tradnl" w:eastAsia="en-US"/>
              </w:rPr>
              <w:t xml:space="preserve">Consistirá en la elaboración de un trabajo cuyo tema deberá estar directamente vinculado con </w:t>
            </w:r>
            <w:proofErr w:type="gramStart"/>
            <w:r>
              <w:rPr>
                <w:lang w:val="es-ES_tradnl" w:eastAsia="en-US"/>
              </w:rPr>
              <w:t>las temáticas objeto</w:t>
            </w:r>
            <w:proofErr w:type="gramEnd"/>
            <w:r>
              <w:rPr>
                <w:lang w:val="es-ES_tradnl" w:eastAsia="en-US"/>
              </w:rPr>
              <w:t xml:space="preserve"> de estudio en la materia. El trabajo será supervisado de manera periódica y obligatoria por parte del profesor. </w:t>
            </w:r>
          </w:p>
          <w:p w:rsidR="002E59DB" w:rsidRDefault="002E59DB">
            <w:pPr>
              <w:spacing w:line="276" w:lineRule="auto"/>
              <w:ind w:left="360"/>
              <w:jc w:val="both"/>
              <w:rPr>
                <w:lang w:val="es-ES_tradnl" w:eastAsia="en-US"/>
              </w:rPr>
            </w:pPr>
            <w:r>
              <w:rPr>
                <w:lang w:val="es-ES_tradnl" w:eastAsia="en-US"/>
              </w:rPr>
              <w:t xml:space="preserve"> </w:t>
            </w:r>
          </w:p>
          <w:p w:rsidR="002E59DB" w:rsidRDefault="002E59DB">
            <w:pPr>
              <w:spacing w:line="276" w:lineRule="auto"/>
              <w:rPr>
                <w:i/>
                <w:lang w:val="es-ES_tradnl" w:eastAsia="en-US"/>
              </w:rPr>
            </w:pPr>
          </w:p>
        </w:tc>
        <w:tc>
          <w:tcPr>
            <w:tcW w:w="3532" w:type="dxa"/>
            <w:tcBorders>
              <w:top w:val="single" w:sz="4" w:space="0" w:color="auto"/>
              <w:left w:val="single" w:sz="4" w:space="0" w:color="auto"/>
              <w:bottom w:val="single" w:sz="4" w:space="0" w:color="auto"/>
              <w:right w:val="single" w:sz="4" w:space="0" w:color="auto"/>
            </w:tcBorders>
          </w:tcPr>
          <w:p w:rsidR="002E59DB" w:rsidRDefault="002E59DB">
            <w:pPr>
              <w:spacing w:line="276" w:lineRule="auto"/>
              <w:rPr>
                <w:i/>
                <w:lang w:val="es-ES_tradnl" w:eastAsia="en-US"/>
              </w:rPr>
            </w:pPr>
          </w:p>
          <w:p w:rsidR="002E59DB" w:rsidRDefault="002E59DB">
            <w:pPr>
              <w:spacing w:line="276" w:lineRule="auto"/>
              <w:rPr>
                <w:i/>
                <w:lang w:val="es-ES_tradnl" w:eastAsia="en-US"/>
              </w:rPr>
            </w:pPr>
          </w:p>
          <w:p w:rsidR="002E59DB" w:rsidRDefault="002E59DB" w:rsidP="00C6270E">
            <w:pPr>
              <w:spacing w:line="276" w:lineRule="auto"/>
              <w:jc w:val="center"/>
              <w:rPr>
                <w:i/>
                <w:lang w:val="es-ES_tradnl" w:eastAsia="en-US"/>
              </w:rPr>
            </w:pPr>
            <w:r>
              <w:rPr>
                <w:i/>
                <w:lang w:val="es-ES_tradnl" w:eastAsia="en-US"/>
              </w:rPr>
              <w:t>40% de la calificación</w:t>
            </w:r>
          </w:p>
        </w:tc>
      </w:tr>
      <w:tr w:rsidR="002E59DB" w:rsidTr="002E59DB">
        <w:tc>
          <w:tcPr>
            <w:tcW w:w="5178" w:type="dxa"/>
            <w:tcBorders>
              <w:top w:val="single" w:sz="4" w:space="0" w:color="auto"/>
              <w:left w:val="single" w:sz="4" w:space="0" w:color="auto"/>
              <w:bottom w:val="single" w:sz="4" w:space="0" w:color="auto"/>
              <w:right w:val="single" w:sz="4" w:space="0" w:color="auto"/>
            </w:tcBorders>
          </w:tcPr>
          <w:p w:rsidR="002E59DB" w:rsidRDefault="002E59DB">
            <w:pPr>
              <w:spacing w:line="276" w:lineRule="auto"/>
              <w:rPr>
                <w:i/>
                <w:lang w:val="es-ES_tradnl" w:eastAsia="en-US"/>
              </w:rPr>
            </w:pPr>
            <w:r>
              <w:rPr>
                <w:i/>
                <w:lang w:val="es-ES_tradnl" w:eastAsia="en-US"/>
              </w:rPr>
              <w:t>Otras formas de evaluación del rendimiento</w:t>
            </w:r>
          </w:p>
          <w:p w:rsidR="002E59DB" w:rsidRDefault="002E59DB">
            <w:pPr>
              <w:spacing w:line="276" w:lineRule="auto"/>
              <w:rPr>
                <w:i/>
                <w:lang w:val="es-ES_tradnl" w:eastAsia="en-US"/>
              </w:rPr>
            </w:pPr>
          </w:p>
          <w:p w:rsidR="00C6270E" w:rsidRDefault="00C6270E" w:rsidP="00C6270E">
            <w:pPr>
              <w:numPr>
                <w:ilvl w:val="0"/>
                <w:numId w:val="5"/>
              </w:numPr>
              <w:jc w:val="both"/>
              <w:rPr>
                <w:lang w:val="es-ES_tradnl"/>
              </w:rPr>
            </w:pPr>
            <w:r>
              <w:rPr>
                <w:lang w:val="es-ES_tradnl"/>
              </w:rPr>
              <w:t>Tutorías individuales y grupales</w:t>
            </w:r>
          </w:p>
          <w:p w:rsidR="00C6270E" w:rsidRDefault="00C6270E" w:rsidP="00C6270E">
            <w:pPr>
              <w:numPr>
                <w:ilvl w:val="0"/>
                <w:numId w:val="5"/>
              </w:numPr>
              <w:jc w:val="both"/>
              <w:rPr>
                <w:lang w:val="es-ES_tradnl"/>
              </w:rPr>
            </w:pPr>
            <w:r>
              <w:rPr>
                <w:lang w:val="es-ES_tradnl"/>
              </w:rPr>
              <w:t>Supervisión de trabajo individuales y grupales</w:t>
            </w:r>
          </w:p>
          <w:p w:rsidR="002E59DB" w:rsidRDefault="002E59DB" w:rsidP="00C6270E">
            <w:pPr>
              <w:spacing w:line="276" w:lineRule="auto"/>
              <w:ind w:left="360"/>
              <w:jc w:val="both"/>
              <w:rPr>
                <w:i/>
                <w:lang w:val="es-ES_tradnl" w:eastAsia="en-US"/>
              </w:rPr>
            </w:pPr>
          </w:p>
        </w:tc>
        <w:tc>
          <w:tcPr>
            <w:tcW w:w="3532" w:type="dxa"/>
            <w:tcBorders>
              <w:top w:val="single" w:sz="4" w:space="0" w:color="auto"/>
              <w:left w:val="single" w:sz="4" w:space="0" w:color="auto"/>
              <w:bottom w:val="single" w:sz="4" w:space="0" w:color="auto"/>
              <w:right w:val="single" w:sz="4" w:space="0" w:color="auto"/>
            </w:tcBorders>
          </w:tcPr>
          <w:p w:rsidR="002E59DB" w:rsidRDefault="002E59DB">
            <w:pPr>
              <w:spacing w:line="276" w:lineRule="auto"/>
              <w:rPr>
                <w:i/>
                <w:lang w:val="es-ES_tradnl" w:eastAsia="en-US"/>
              </w:rPr>
            </w:pPr>
          </w:p>
          <w:p w:rsidR="002E59DB" w:rsidRDefault="002E59DB">
            <w:pPr>
              <w:spacing w:line="276" w:lineRule="auto"/>
              <w:rPr>
                <w:i/>
                <w:lang w:val="es-ES_tradnl" w:eastAsia="en-US"/>
              </w:rPr>
            </w:pPr>
          </w:p>
          <w:p w:rsidR="002E59DB" w:rsidRDefault="002E59DB" w:rsidP="00C6270E">
            <w:pPr>
              <w:spacing w:line="276" w:lineRule="auto"/>
              <w:jc w:val="center"/>
              <w:rPr>
                <w:i/>
                <w:lang w:val="es-ES_tradnl" w:eastAsia="en-US"/>
              </w:rPr>
            </w:pPr>
            <w:r>
              <w:rPr>
                <w:i/>
                <w:lang w:val="es-ES_tradnl" w:eastAsia="en-US"/>
              </w:rPr>
              <w:t>10</w:t>
            </w:r>
            <w:r w:rsidR="00C6270E">
              <w:rPr>
                <w:i/>
                <w:lang w:val="es-ES_tradnl" w:eastAsia="en-US"/>
              </w:rPr>
              <w:t xml:space="preserve">% </w:t>
            </w:r>
            <w:r>
              <w:rPr>
                <w:i/>
                <w:lang w:val="es-ES_tradnl" w:eastAsia="en-US"/>
              </w:rPr>
              <w:t>de la calificación</w:t>
            </w:r>
          </w:p>
        </w:tc>
      </w:tr>
    </w:tbl>
    <w:p w:rsidR="002E59DB" w:rsidRDefault="002E59DB" w:rsidP="002E59DB"/>
    <w:p w:rsidR="002E59DB" w:rsidRDefault="002E59DB" w:rsidP="002E59DB"/>
    <w:p w:rsidR="002E59DB" w:rsidRDefault="002E59DB" w:rsidP="002E59DB"/>
    <w:p w:rsidR="002E59DB" w:rsidRDefault="002E59DB" w:rsidP="002E59DB">
      <w:pPr>
        <w:autoSpaceDE w:val="0"/>
        <w:autoSpaceDN w:val="0"/>
        <w:adjustRightInd w:val="0"/>
        <w:jc w:val="both"/>
        <w:rPr>
          <w:b/>
          <w:color w:val="000000"/>
          <w:sz w:val="40"/>
          <w:szCs w:val="40"/>
        </w:rPr>
      </w:pPr>
      <w:r>
        <w:rPr>
          <w:b/>
          <w:color w:val="000000"/>
          <w:sz w:val="22"/>
          <w:szCs w:val="22"/>
        </w:rPr>
        <w:br w:type="page"/>
      </w:r>
      <w:r>
        <w:rPr>
          <w:b/>
          <w:color w:val="000000"/>
          <w:sz w:val="40"/>
          <w:szCs w:val="40"/>
        </w:rPr>
        <w:lastRenderedPageBreak/>
        <w:t>BIBLIOGRAFÍA</w:t>
      </w:r>
    </w:p>
    <w:p w:rsidR="002E59DB" w:rsidRDefault="002E59DB"/>
    <w:p w:rsidR="00BE6FC8" w:rsidRDefault="00BE6FC8" w:rsidP="00BE6FC8">
      <w:pPr>
        <w:spacing w:line="360" w:lineRule="auto"/>
        <w:ind w:left="709" w:hanging="709"/>
      </w:pPr>
    </w:p>
    <w:p w:rsidR="00BE6FC8" w:rsidRDefault="00BE6FC8" w:rsidP="00BE6FC8">
      <w:pPr>
        <w:pStyle w:val="Default"/>
        <w:spacing w:line="360" w:lineRule="auto"/>
        <w:ind w:left="709" w:hanging="709"/>
        <w:rPr>
          <w:rFonts w:ascii="Times New Roman" w:hAnsi="Times New Roman"/>
          <w:lang w:val="en-GB"/>
        </w:rPr>
      </w:pPr>
      <w:r>
        <w:rPr>
          <w:rFonts w:ascii="Times New Roman" w:hAnsi="Times New Roman"/>
          <w:lang w:val="en-GB"/>
        </w:rPr>
        <w:t xml:space="preserve">Austin, D.M. (2002). </w:t>
      </w:r>
      <w:proofErr w:type="gramStart"/>
      <w:r w:rsidRPr="00BE6FC8">
        <w:rPr>
          <w:rFonts w:ascii="Times New Roman" w:hAnsi="Times New Roman"/>
          <w:i/>
          <w:lang w:val="en-GB"/>
        </w:rPr>
        <w:t>Human Services Management.</w:t>
      </w:r>
      <w:proofErr w:type="gramEnd"/>
      <w:r w:rsidRPr="00BE6FC8">
        <w:rPr>
          <w:rFonts w:ascii="Times New Roman" w:hAnsi="Times New Roman"/>
          <w:i/>
          <w:lang w:val="en-GB"/>
        </w:rPr>
        <w:t xml:space="preserve"> </w:t>
      </w:r>
      <w:proofErr w:type="gramStart"/>
      <w:r w:rsidRPr="00BE6FC8">
        <w:rPr>
          <w:rFonts w:ascii="Times New Roman" w:hAnsi="Times New Roman"/>
          <w:i/>
          <w:lang w:val="en-GB"/>
        </w:rPr>
        <w:t>Organizational Leadership in Social Work Practice</w:t>
      </w:r>
      <w:r>
        <w:rPr>
          <w:rFonts w:ascii="Times New Roman" w:hAnsi="Times New Roman"/>
          <w:lang w:val="en-GB"/>
        </w:rPr>
        <w:t>.</w:t>
      </w:r>
      <w:proofErr w:type="gramEnd"/>
      <w:r>
        <w:rPr>
          <w:rFonts w:ascii="Times New Roman" w:hAnsi="Times New Roman"/>
          <w:lang w:val="en-GB"/>
        </w:rPr>
        <w:t xml:space="preserve"> New York: Columbia University Press.</w:t>
      </w:r>
    </w:p>
    <w:p w:rsidR="00BE6FC8" w:rsidRPr="008F25F3" w:rsidRDefault="00BE6FC8" w:rsidP="00BE6FC8">
      <w:pPr>
        <w:autoSpaceDE w:val="0"/>
        <w:autoSpaceDN w:val="0"/>
        <w:adjustRightInd w:val="0"/>
        <w:spacing w:line="360" w:lineRule="auto"/>
        <w:ind w:left="709" w:hanging="709"/>
        <w:rPr>
          <w:color w:val="000000"/>
        </w:rPr>
      </w:pPr>
      <w:r>
        <w:rPr>
          <w:color w:val="000000"/>
          <w:lang w:val="en-GB"/>
        </w:rPr>
        <w:t>Banks, S. (2004).</w:t>
      </w:r>
      <w:r w:rsidRPr="00BE6FC8">
        <w:rPr>
          <w:i/>
          <w:color w:val="000000"/>
          <w:lang w:val="en-GB"/>
        </w:rPr>
        <w:t xml:space="preserve"> </w:t>
      </w:r>
      <w:proofErr w:type="gramStart"/>
      <w:r w:rsidRPr="00BE6FC8">
        <w:rPr>
          <w:i/>
          <w:color w:val="000000"/>
          <w:lang w:val="en-GB"/>
        </w:rPr>
        <w:t>Ethics, Accountability and the Social Professions</w:t>
      </w:r>
      <w:r>
        <w:rPr>
          <w:color w:val="000000"/>
          <w:lang w:val="en-GB"/>
        </w:rPr>
        <w:t>.</w:t>
      </w:r>
      <w:proofErr w:type="gramEnd"/>
      <w:r>
        <w:rPr>
          <w:color w:val="000000"/>
          <w:lang w:val="en-GB"/>
        </w:rPr>
        <w:t xml:space="preserve"> </w:t>
      </w:r>
      <w:proofErr w:type="spellStart"/>
      <w:r w:rsidRPr="008F25F3">
        <w:rPr>
          <w:color w:val="000000"/>
        </w:rPr>
        <w:t>Basingstoke</w:t>
      </w:r>
      <w:proofErr w:type="spellEnd"/>
      <w:r w:rsidRPr="008F25F3">
        <w:rPr>
          <w:color w:val="000000"/>
        </w:rPr>
        <w:t xml:space="preserve">, </w:t>
      </w:r>
      <w:proofErr w:type="spellStart"/>
      <w:r w:rsidRPr="008F25F3">
        <w:rPr>
          <w:color w:val="000000"/>
        </w:rPr>
        <w:t>Palgrave</w:t>
      </w:r>
      <w:proofErr w:type="spellEnd"/>
      <w:r w:rsidRPr="008F25F3">
        <w:rPr>
          <w:color w:val="000000"/>
        </w:rPr>
        <w:t xml:space="preserve"> </w:t>
      </w:r>
      <w:proofErr w:type="spellStart"/>
      <w:r w:rsidRPr="008F25F3">
        <w:rPr>
          <w:color w:val="000000"/>
        </w:rPr>
        <w:t>Macmillan</w:t>
      </w:r>
      <w:proofErr w:type="spellEnd"/>
      <w:r w:rsidRPr="008F25F3">
        <w:rPr>
          <w:color w:val="000000"/>
        </w:rPr>
        <w:t>.</w:t>
      </w:r>
    </w:p>
    <w:p w:rsidR="00BE6FC8" w:rsidRDefault="00BE6FC8" w:rsidP="00BE6FC8">
      <w:pPr>
        <w:spacing w:line="360" w:lineRule="auto"/>
        <w:ind w:left="709" w:hanging="709"/>
        <w:jc w:val="both"/>
        <w:rPr>
          <w:b/>
        </w:rPr>
      </w:pPr>
      <w:r w:rsidRPr="00BE6FC8">
        <w:t>Comunidad de Madrid.</w:t>
      </w:r>
      <w:r>
        <w:t xml:space="preserve"> (1999).</w:t>
      </w:r>
      <w:r w:rsidRPr="00BE6FC8">
        <w:rPr>
          <w:i/>
        </w:rPr>
        <w:t xml:space="preserve"> Cuadro de indicadores de la calidad de la </w:t>
      </w:r>
      <w:proofErr w:type="gramStart"/>
      <w:r w:rsidRPr="00BE6FC8">
        <w:rPr>
          <w:i/>
        </w:rPr>
        <w:t>C.M..</w:t>
      </w:r>
      <w:proofErr w:type="gramEnd"/>
      <w:r w:rsidRPr="00BE6FC8">
        <w:rPr>
          <w:i/>
        </w:rPr>
        <w:t xml:space="preserve"> Medir para mejorar</w:t>
      </w:r>
      <w:r>
        <w:t>.</w:t>
      </w:r>
      <w:r>
        <w:rPr>
          <w:szCs w:val="16"/>
        </w:rPr>
        <w:t xml:space="preserve"> </w:t>
      </w:r>
      <w:r>
        <w:t>Comunidad de Madrid y KPMG</w:t>
      </w:r>
    </w:p>
    <w:p w:rsidR="00BE6FC8" w:rsidRDefault="00BE6FC8" w:rsidP="00BE6FC8">
      <w:pPr>
        <w:autoSpaceDE w:val="0"/>
        <w:autoSpaceDN w:val="0"/>
        <w:adjustRightInd w:val="0"/>
        <w:spacing w:line="360" w:lineRule="auto"/>
        <w:ind w:left="709" w:hanging="709"/>
        <w:rPr>
          <w:color w:val="000000"/>
          <w:lang w:val="en-GB"/>
        </w:rPr>
      </w:pPr>
      <w:proofErr w:type="spellStart"/>
      <w:r w:rsidRPr="00BE6FC8">
        <w:rPr>
          <w:color w:val="000000"/>
          <w:lang w:val="en-US"/>
        </w:rPr>
        <w:t>Darvill</w:t>
      </w:r>
      <w:proofErr w:type="spellEnd"/>
      <w:r w:rsidRPr="00BE6FC8">
        <w:rPr>
          <w:color w:val="000000"/>
          <w:lang w:val="en-US"/>
        </w:rPr>
        <w:t xml:space="preserve">, G. (1998a). </w:t>
      </w:r>
      <w:proofErr w:type="spellStart"/>
      <w:proofErr w:type="gramStart"/>
      <w:r w:rsidRPr="00BE6FC8">
        <w:rPr>
          <w:i/>
          <w:color w:val="000000"/>
          <w:lang w:val="en-US"/>
        </w:rPr>
        <w:t>Organisation</w:t>
      </w:r>
      <w:proofErr w:type="spellEnd"/>
      <w:r w:rsidRPr="00BE6FC8">
        <w:rPr>
          <w:i/>
          <w:color w:val="000000"/>
          <w:lang w:val="en-US"/>
        </w:rPr>
        <w:t>, People and Standards.</w:t>
      </w:r>
      <w:proofErr w:type="gramEnd"/>
      <w:r w:rsidRPr="00BE6FC8">
        <w:rPr>
          <w:i/>
          <w:color w:val="000000"/>
          <w:lang w:val="en-US"/>
        </w:rPr>
        <w:t xml:space="preserve"> </w:t>
      </w:r>
      <w:proofErr w:type="gramStart"/>
      <w:r w:rsidRPr="00BE6FC8">
        <w:rPr>
          <w:i/>
          <w:color w:val="000000"/>
          <w:lang w:val="en-US"/>
        </w:rPr>
        <w:t xml:space="preserve">Use of formal standards </w:t>
      </w:r>
      <w:r w:rsidRPr="00BE6FC8">
        <w:rPr>
          <w:i/>
          <w:color w:val="000000"/>
          <w:lang w:val="en-GB"/>
        </w:rPr>
        <w:t>in Social Services.</w:t>
      </w:r>
      <w:proofErr w:type="gramEnd"/>
      <w:r w:rsidRPr="00BE6FC8">
        <w:rPr>
          <w:i/>
          <w:color w:val="000000"/>
          <w:lang w:val="en-GB"/>
        </w:rPr>
        <w:t xml:space="preserve"> </w:t>
      </w:r>
      <w:proofErr w:type="gramStart"/>
      <w:r w:rsidRPr="00BE6FC8">
        <w:rPr>
          <w:i/>
          <w:color w:val="000000"/>
          <w:lang w:val="en-GB"/>
        </w:rPr>
        <w:t>Report of a survey</w:t>
      </w:r>
      <w:r>
        <w:rPr>
          <w:i/>
          <w:color w:val="000000"/>
          <w:lang w:val="en-GB"/>
        </w:rPr>
        <w:t>.</w:t>
      </w:r>
      <w:proofErr w:type="gramEnd"/>
      <w:r>
        <w:rPr>
          <w:color w:val="000000"/>
          <w:lang w:val="en-GB"/>
        </w:rPr>
        <w:t xml:space="preserve"> London: National </w:t>
      </w:r>
      <w:proofErr w:type="spellStart"/>
      <w:r>
        <w:rPr>
          <w:color w:val="000000"/>
          <w:lang w:val="en-GB"/>
        </w:rPr>
        <w:t>Institut</w:t>
      </w:r>
      <w:proofErr w:type="spellEnd"/>
      <w:r>
        <w:rPr>
          <w:color w:val="000000"/>
          <w:lang w:val="en-GB"/>
        </w:rPr>
        <w:t xml:space="preserve"> for Social Work.</w:t>
      </w:r>
    </w:p>
    <w:p w:rsidR="00BE6FC8" w:rsidRDefault="00BE6FC8" w:rsidP="00BE6FC8">
      <w:pPr>
        <w:autoSpaceDE w:val="0"/>
        <w:autoSpaceDN w:val="0"/>
        <w:adjustRightInd w:val="0"/>
        <w:spacing w:line="360" w:lineRule="auto"/>
        <w:ind w:left="709" w:hanging="709"/>
        <w:rPr>
          <w:color w:val="000000"/>
          <w:lang w:val="en-GB"/>
        </w:rPr>
      </w:pPr>
      <w:proofErr w:type="spellStart"/>
      <w:r>
        <w:rPr>
          <w:color w:val="000000"/>
          <w:lang w:val="en-GB"/>
        </w:rPr>
        <w:t>Darvill</w:t>
      </w:r>
      <w:proofErr w:type="spellEnd"/>
      <w:r>
        <w:rPr>
          <w:color w:val="000000"/>
          <w:lang w:val="en-GB"/>
        </w:rPr>
        <w:t xml:space="preserve">, G. (1998b). </w:t>
      </w:r>
      <w:proofErr w:type="gramStart"/>
      <w:r w:rsidRPr="00BE6FC8">
        <w:rPr>
          <w:i/>
          <w:color w:val="000000"/>
          <w:lang w:val="en-GB"/>
        </w:rPr>
        <w:t>One standard for all?</w:t>
      </w:r>
      <w:proofErr w:type="gramEnd"/>
      <w:r w:rsidRPr="00BE6FC8">
        <w:rPr>
          <w:i/>
          <w:color w:val="000000"/>
          <w:lang w:val="en-GB"/>
        </w:rPr>
        <w:t xml:space="preserve"> </w:t>
      </w:r>
      <w:proofErr w:type="gramStart"/>
      <w:r w:rsidRPr="00BE6FC8">
        <w:rPr>
          <w:i/>
          <w:color w:val="000000"/>
          <w:lang w:val="en-GB"/>
        </w:rPr>
        <w:t>Integrating diverse standards in the social services</w:t>
      </w:r>
      <w:r>
        <w:rPr>
          <w:color w:val="000000"/>
          <w:lang w:val="en-GB"/>
        </w:rPr>
        <w:t>.</w:t>
      </w:r>
      <w:proofErr w:type="gramEnd"/>
      <w:r>
        <w:rPr>
          <w:color w:val="000000"/>
          <w:lang w:val="en-GB"/>
        </w:rPr>
        <w:t xml:space="preserve"> London: National </w:t>
      </w:r>
      <w:proofErr w:type="spellStart"/>
      <w:r>
        <w:rPr>
          <w:color w:val="000000"/>
          <w:lang w:val="en-GB"/>
        </w:rPr>
        <w:t>Institut</w:t>
      </w:r>
      <w:proofErr w:type="spellEnd"/>
      <w:r>
        <w:rPr>
          <w:color w:val="000000"/>
          <w:lang w:val="en-GB"/>
        </w:rPr>
        <w:t xml:space="preserve"> for Social Work.</w:t>
      </w:r>
    </w:p>
    <w:p w:rsidR="00BE6FC8" w:rsidRDefault="00BE6FC8" w:rsidP="00BE6FC8">
      <w:pPr>
        <w:autoSpaceDE w:val="0"/>
        <w:autoSpaceDN w:val="0"/>
        <w:adjustRightInd w:val="0"/>
        <w:spacing w:line="360" w:lineRule="auto"/>
        <w:ind w:left="709" w:hanging="709"/>
        <w:rPr>
          <w:color w:val="000000"/>
          <w:lang w:val="en-GB"/>
        </w:rPr>
      </w:pPr>
      <w:r>
        <w:rPr>
          <w:color w:val="000000"/>
          <w:lang w:val="en-GB"/>
        </w:rPr>
        <w:t xml:space="preserve">European Foundation for the improvement of living and working conditions. </w:t>
      </w:r>
      <w:proofErr w:type="gramStart"/>
      <w:r>
        <w:rPr>
          <w:color w:val="000000"/>
          <w:lang w:val="en-GB"/>
        </w:rPr>
        <w:t xml:space="preserve">(2001). </w:t>
      </w:r>
      <w:r w:rsidRPr="00BE6FC8">
        <w:rPr>
          <w:i/>
          <w:color w:val="000000"/>
          <w:lang w:val="en-GB"/>
        </w:rPr>
        <w:t>Quality in social public services</w:t>
      </w:r>
      <w:r>
        <w:rPr>
          <w:color w:val="000000"/>
          <w:lang w:val="en-GB"/>
        </w:rPr>
        <w:t>.</w:t>
      </w:r>
      <w:proofErr w:type="gramEnd"/>
      <w:r>
        <w:rPr>
          <w:color w:val="000000"/>
          <w:lang w:val="en-GB"/>
        </w:rPr>
        <w:t xml:space="preserve"> Luxembourg: Office for Official Publications of the European Communities.</w:t>
      </w:r>
    </w:p>
    <w:p w:rsidR="00BE6FC8" w:rsidRDefault="00BE6FC8" w:rsidP="00BE6FC8">
      <w:pPr>
        <w:autoSpaceDE w:val="0"/>
        <w:autoSpaceDN w:val="0"/>
        <w:adjustRightInd w:val="0"/>
        <w:spacing w:line="360" w:lineRule="auto"/>
        <w:ind w:left="709" w:hanging="709"/>
        <w:rPr>
          <w:color w:val="000000"/>
        </w:rPr>
      </w:pPr>
      <w:proofErr w:type="gramStart"/>
      <w:r>
        <w:rPr>
          <w:color w:val="000000"/>
          <w:lang w:val="en-GB"/>
        </w:rPr>
        <w:t xml:space="preserve">Evers, A., </w:t>
      </w:r>
      <w:proofErr w:type="spellStart"/>
      <w:r>
        <w:rPr>
          <w:color w:val="000000"/>
          <w:lang w:val="en-GB"/>
        </w:rPr>
        <w:t>Haverinen</w:t>
      </w:r>
      <w:proofErr w:type="spellEnd"/>
      <w:r>
        <w:rPr>
          <w:color w:val="000000"/>
          <w:lang w:val="en-GB"/>
        </w:rPr>
        <w:t xml:space="preserve">, R., </w:t>
      </w:r>
      <w:proofErr w:type="spellStart"/>
      <w:r>
        <w:rPr>
          <w:color w:val="000000"/>
          <w:lang w:val="en-GB"/>
        </w:rPr>
        <w:t>Leichsenring</w:t>
      </w:r>
      <w:proofErr w:type="spellEnd"/>
      <w:r>
        <w:rPr>
          <w:color w:val="000000"/>
          <w:lang w:val="en-GB"/>
        </w:rPr>
        <w:t xml:space="preserve">, K. and </w:t>
      </w:r>
      <w:proofErr w:type="spellStart"/>
      <w:r>
        <w:rPr>
          <w:color w:val="000000"/>
          <w:lang w:val="en-GB"/>
        </w:rPr>
        <w:t>Wistow</w:t>
      </w:r>
      <w:proofErr w:type="spellEnd"/>
      <w:r>
        <w:rPr>
          <w:color w:val="000000"/>
          <w:lang w:val="en-GB"/>
        </w:rPr>
        <w:t xml:space="preserve">, G. (eds.) </w:t>
      </w:r>
      <w:r w:rsidRPr="008F25F3">
        <w:rPr>
          <w:color w:val="000000"/>
          <w:lang w:val="en-US"/>
        </w:rPr>
        <w:t>(1997).</w:t>
      </w:r>
      <w:proofErr w:type="gramEnd"/>
      <w:r w:rsidRPr="008F25F3">
        <w:rPr>
          <w:color w:val="000000"/>
          <w:lang w:val="en-US"/>
        </w:rPr>
        <w:t xml:space="preserve"> </w:t>
      </w:r>
      <w:proofErr w:type="gramStart"/>
      <w:r w:rsidRPr="008F25F3">
        <w:rPr>
          <w:i/>
          <w:color w:val="000000"/>
          <w:lang w:val="en-US"/>
        </w:rPr>
        <w:t>Developing Quality in Personal Social Services: Concepts, Cases and Comments.</w:t>
      </w:r>
      <w:proofErr w:type="gramEnd"/>
      <w:r w:rsidRPr="008F25F3">
        <w:rPr>
          <w:color w:val="000000"/>
          <w:lang w:val="en-US"/>
        </w:rPr>
        <w:t xml:space="preserve"> </w:t>
      </w:r>
      <w:proofErr w:type="spellStart"/>
      <w:r>
        <w:rPr>
          <w:color w:val="000000"/>
        </w:rPr>
        <w:t>Aldershot</w:t>
      </w:r>
      <w:proofErr w:type="spellEnd"/>
      <w:r>
        <w:rPr>
          <w:color w:val="000000"/>
        </w:rPr>
        <w:t xml:space="preserve">: </w:t>
      </w:r>
      <w:proofErr w:type="spellStart"/>
      <w:r>
        <w:rPr>
          <w:color w:val="000000"/>
        </w:rPr>
        <w:t>Ashgate</w:t>
      </w:r>
      <w:proofErr w:type="spellEnd"/>
      <w:r>
        <w:rPr>
          <w:color w:val="000000"/>
        </w:rPr>
        <w:t>.</w:t>
      </w:r>
    </w:p>
    <w:p w:rsidR="00BE6FC8" w:rsidRDefault="00BE6FC8" w:rsidP="00BE6FC8">
      <w:pPr>
        <w:autoSpaceDE w:val="0"/>
        <w:autoSpaceDN w:val="0"/>
        <w:adjustRightInd w:val="0"/>
        <w:spacing w:line="360" w:lineRule="auto"/>
        <w:ind w:left="709" w:hanging="709"/>
        <w:rPr>
          <w:color w:val="000000"/>
        </w:rPr>
      </w:pPr>
      <w:r>
        <w:rPr>
          <w:color w:val="000000"/>
        </w:rPr>
        <w:t xml:space="preserve">Fernández Guerrero, R. y Martínez Moreno, A. (2002). La calidad: estrategia o control en la prestación de servicios en una economía mixta de bienestar. </w:t>
      </w:r>
      <w:r w:rsidR="008F25F3">
        <w:rPr>
          <w:i/>
          <w:color w:val="000000"/>
        </w:rPr>
        <w:t>D</w:t>
      </w:r>
      <w:r w:rsidRPr="00BE6FC8">
        <w:rPr>
          <w:i/>
          <w:color w:val="000000"/>
        </w:rPr>
        <w:t>ocumentación social.</w:t>
      </w:r>
      <w:r>
        <w:rPr>
          <w:color w:val="000000"/>
        </w:rPr>
        <w:t xml:space="preserve"> </w:t>
      </w:r>
      <w:r w:rsidRPr="00BE6FC8">
        <w:rPr>
          <w:i/>
          <w:color w:val="000000"/>
        </w:rPr>
        <w:t>Revista de Estudios Socia</w:t>
      </w:r>
      <w:r>
        <w:rPr>
          <w:i/>
          <w:color w:val="000000"/>
        </w:rPr>
        <w:t xml:space="preserve">les y de Sociología aplicada, </w:t>
      </w:r>
      <w:r w:rsidRPr="00BE6FC8">
        <w:rPr>
          <w:i/>
          <w:color w:val="000000"/>
        </w:rPr>
        <w:t>128</w:t>
      </w:r>
      <w:r>
        <w:rPr>
          <w:color w:val="000000"/>
        </w:rPr>
        <w:t>, 37-55.</w:t>
      </w:r>
    </w:p>
    <w:p w:rsidR="00BE6FC8" w:rsidRPr="00BE6FC8" w:rsidRDefault="00BE6FC8" w:rsidP="00BE6FC8">
      <w:pPr>
        <w:autoSpaceDE w:val="0"/>
        <w:autoSpaceDN w:val="0"/>
        <w:adjustRightInd w:val="0"/>
        <w:spacing w:line="360" w:lineRule="auto"/>
        <w:ind w:left="709" w:hanging="709"/>
        <w:jc w:val="both"/>
      </w:pPr>
      <w:proofErr w:type="spellStart"/>
      <w:r>
        <w:t>Garau</w:t>
      </w:r>
      <w:proofErr w:type="spellEnd"/>
      <w:r>
        <w:t xml:space="preserve">, J. (2005). </w:t>
      </w:r>
      <w:r w:rsidRPr="00BE6FC8">
        <w:rPr>
          <w:i/>
        </w:rPr>
        <w:t>Guía para la gestión de calidad de los procesos de los servicios</w:t>
      </w:r>
      <w:r w:rsidRPr="00BE6FC8">
        <w:rPr>
          <w:i/>
          <w:szCs w:val="32"/>
        </w:rPr>
        <w:t xml:space="preserve"> </w:t>
      </w:r>
      <w:r w:rsidRPr="00BE6FC8">
        <w:rPr>
          <w:i/>
        </w:rPr>
        <w:t>sociales</w:t>
      </w:r>
      <w:r>
        <w:t xml:space="preserve">. </w:t>
      </w:r>
      <w:r w:rsidRPr="00BE6FC8">
        <w:t>Barcelona</w:t>
      </w:r>
      <w:r>
        <w:t>:</w:t>
      </w:r>
      <w:r w:rsidRPr="00BE6FC8">
        <w:t xml:space="preserve"> </w:t>
      </w:r>
      <w:proofErr w:type="spellStart"/>
      <w:r w:rsidRPr="00BE6FC8">
        <w:t>Institut</w:t>
      </w:r>
      <w:proofErr w:type="spellEnd"/>
      <w:r w:rsidRPr="00BE6FC8">
        <w:t xml:space="preserve"> de </w:t>
      </w:r>
      <w:proofErr w:type="spellStart"/>
      <w:r w:rsidRPr="00BE6FC8">
        <w:t>Treball</w:t>
      </w:r>
      <w:proofErr w:type="spellEnd"/>
      <w:r w:rsidRPr="00BE6FC8">
        <w:t xml:space="preserve"> Social i </w:t>
      </w:r>
      <w:proofErr w:type="spellStart"/>
      <w:r w:rsidRPr="00BE6FC8">
        <w:t>Serveis</w:t>
      </w:r>
      <w:proofErr w:type="spellEnd"/>
      <w:r w:rsidRPr="00BE6FC8">
        <w:t xml:space="preserve"> </w:t>
      </w:r>
      <w:proofErr w:type="spellStart"/>
      <w:r w:rsidRPr="00BE6FC8">
        <w:t>Socials</w:t>
      </w:r>
      <w:proofErr w:type="spellEnd"/>
      <w:r w:rsidRPr="00BE6FC8">
        <w:t xml:space="preserve"> (INTRESS).</w:t>
      </w:r>
    </w:p>
    <w:p w:rsidR="00BE6FC8" w:rsidRDefault="00BE6FC8" w:rsidP="00BE6FC8">
      <w:pPr>
        <w:spacing w:line="360" w:lineRule="auto"/>
        <w:ind w:left="709" w:hanging="709"/>
      </w:pPr>
    </w:p>
    <w:p w:rsidR="00BE6FC8" w:rsidRDefault="00BE6FC8"/>
    <w:sectPr w:rsidR="00BE6FC8" w:rsidSect="00024C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D17"/>
    <w:multiLevelType w:val="hybridMultilevel"/>
    <w:tmpl w:val="2178827E"/>
    <w:lvl w:ilvl="0" w:tplc="E9920336">
      <w:start w:val="1"/>
      <w:numFmt w:val="bullet"/>
      <w:lvlText w:val="-"/>
      <w:lvlJc w:val="left"/>
      <w:pPr>
        <w:ind w:left="36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96E5206"/>
    <w:multiLevelType w:val="hybridMultilevel"/>
    <w:tmpl w:val="D444E2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3E07FD"/>
    <w:multiLevelType w:val="hybridMultilevel"/>
    <w:tmpl w:val="3A46DD74"/>
    <w:lvl w:ilvl="0" w:tplc="E9920336">
      <w:start w:val="1"/>
      <w:numFmt w:val="bullet"/>
      <w:lvlText w:val="-"/>
      <w:lvlJc w:val="left"/>
      <w:pPr>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C804A01"/>
    <w:multiLevelType w:val="hybridMultilevel"/>
    <w:tmpl w:val="89085AC4"/>
    <w:lvl w:ilvl="0" w:tplc="295E43DA">
      <w:start w:val="1"/>
      <w:numFmt w:val="bullet"/>
      <w:lvlText w:val=""/>
      <w:lvlJc w:val="left"/>
      <w:pPr>
        <w:ind w:left="360" w:hanging="360"/>
      </w:pPr>
      <w:rPr>
        <w:rFonts w:ascii="Symbol" w:hAnsi="Symbol" w:hint="default"/>
        <w:u w:color="632423"/>
      </w:rPr>
    </w:lvl>
    <w:lvl w:ilvl="1" w:tplc="FE30412A">
      <w:start w:val="1"/>
      <w:numFmt w:val="bullet"/>
      <w:lvlText w:val="-"/>
      <w:lvlJc w:val="left"/>
      <w:pPr>
        <w:ind w:left="1080" w:hanging="360"/>
      </w:pPr>
      <w:rPr>
        <w:rFonts w:ascii="Times New Roman" w:eastAsia="Times New Roman" w:hAnsi="Times New Roman"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E59DB"/>
    <w:rsid w:val="00024CA0"/>
    <w:rsid w:val="002E59DB"/>
    <w:rsid w:val="00631A13"/>
    <w:rsid w:val="008F25F3"/>
    <w:rsid w:val="00A327E2"/>
    <w:rsid w:val="00BE6FC8"/>
    <w:rsid w:val="00C6270E"/>
    <w:rsid w:val="00EA0B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D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59DB"/>
    <w:pPr>
      <w:ind w:left="720"/>
      <w:contextualSpacing/>
    </w:pPr>
  </w:style>
  <w:style w:type="paragraph" w:customStyle="1" w:styleId="EPIGRAFEMEMORIAMEDIANO">
    <w:name w:val="EPIGRAFE MEMORIA MEDIANO"/>
    <w:basedOn w:val="Normal"/>
    <w:rsid w:val="002E59DB"/>
    <w:pPr>
      <w:jc w:val="both"/>
    </w:pPr>
    <w:rPr>
      <w:rFonts w:ascii="Verdana" w:hAnsi="Verdana" w:cs="Arial"/>
      <w:b/>
      <w:color w:val="000080"/>
      <w:sz w:val="22"/>
      <w:szCs w:val="22"/>
    </w:rPr>
  </w:style>
  <w:style w:type="table" w:styleId="Tablaconcuadrcula">
    <w:name w:val="Table Grid"/>
    <w:basedOn w:val="Tablanormal"/>
    <w:rsid w:val="002E59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1A13"/>
    <w:pPr>
      <w:autoSpaceDE w:val="0"/>
      <w:autoSpaceDN w:val="0"/>
      <w:adjustRightInd w:val="0"/>
      <w:spacing w:after="0" w:line="240" w:lineRule="auto"/>
    </w:pPr>
    <w:rPr>
      <w:rFonts w:ascii="Verdana,Bold" w:eastAsia="Times New Roman" w:hAnsi="Verdana,Bold" w:cs="Verdana,Bold"/>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118760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6917A-2236-4EAC-953D-3A49A81E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1072</Words>
  <Characters>5896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2015-07-09T18:03:00Z</dcterms:created>
  <dcterms:modified xsi:type="dcterms:W3CDTF">2015-07-17T13:44:00Z</dcterms:modified>
</cp:coreProperties>
</file>