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B940F" w14:textId="3B2A60A4" w:rsidR="004F7B82" w:rsidRDefault="004F7B82" w:rsidP="004F7B82">
      <w:pPr>
        <w:pStyle w:val="MTDisplayEquation"/>
        <w:numPr>
          <w:ilvl w:val="0"/>
          <w:numId w:val="0"/>
        </w:numPr>
        <w:tabs>
          <w:tab w:val="clear" w:pos="46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="000F272C">
        <w:rPr>
          <w:sz w:val="32"/>
          <w:szCs w:val="32"/>
        </w:rPr>
        <w:t>RÁCTICA</w:t>
      </w:r>
      <w:r>
        <w:rPr>
          <w:sz w:val="32"/>
          <w:szCs w:val="32"/>
        </w:rPr>
        <w:t xml:space="preserve"> </w:t>
      </w:r>
      <w:r w:rsidR="000F272C">
        <w:rPr>
          <w:sz w:val="32"/>
          <w:szCs w:val="32"/>
        </w:rPr>
        <w:t>4, 2017-18</w:t>
      </w:r>
    </w:p>
    <w:p w14:paraId="6DDF66A7" w14:textId="77777777" w:rsidR="00DE13E2" w:rsidRPr="009B202E" w:rsidRDefault="00DE13E2" w:rsidP="00DE13E2">
      <w:pPr>
        <w:jc w:val="center"/>
      </w:pPr>
      <w:r>
        <w:t xml:space="preserve">Macro Avanzada, Análisis Económico 4º UCM. </w:t>
      </w:r>
      <w:proofErr w:type="spellStart"/>
      <w:r>
        <w:t>Profs</w:t>
      </w:r>
      <w:proofErr w:type="spellEnd"/>
      <w:r>
        <w:t xml:space="preserve">: Luis </w:t>
      </w:r>
      <w:proofErr w:type="spellStart"/>
      <w:r>
        <w:t>Puch</w:t>
      </w:r>
      <w:proofErr w:type="spellEnd"/>
      <w:r>
        <w:t xml:space="preserve"> y Jesús Ruiz</w:t>
      </w:r>
    </w:p>
    <w:p w14:paraId="7240AAE2" w14:textId="3AAC1203" w:rsidR="004F7B82" w:rsidRPr="004F7B82" w:rsidRDefault="0015463C" w:rsidP="004F7B82">
      <w:pPr>
        <w:jc w:val="center"/>
        <w:rPr>
          <w:b/>
          <w:sz w:val="28"/>
          <w:szCs w:val="28"/>
          <w:lang w:val="es-ES" w:eastAsia="es-ES"/>
        </w:rPr>
      </w:pPr>
      <w:r>
        <w:rPr>
          <w:b/>
          <w:sz w:val="28"/>
          <w:szCs w:val="28"/>
          <w:lang w:val="es-ES" w:eastAsia="es-ES"/>
        </w:rPr>
        <w:t xml:space="preserve"> </w:t>
      </w:r>
      <w:r w:rsidRPr="0015463C">
        <w:rPr>
          <w:b/>
          <w:lang w:val="es-ES" w:eastAsia="es-ES"/>
        </w:rPr>
        <w:t>(</w:t>
      </w:r>
      <w:r w:rsidR="00DE13E2">
        <w:rPr>
          <w:b/>
          <w:lang w:val="es-ES" w:eastAsia="es-ES"/>
        </w:rPr>
        <w:t>OA-DA: Dinámica y Expectativas</w:t>
      </w:r>
      <w:r w:rsidRPr="0015463C">
        <w:rPr>
          <w:b/>
          <w:lang w:val="es-ES" w:eastAsia="es-ES"/>
        </w:rPr>
        <w:t>)</w:t>
      </w:r>
    </w:p>
    <w:p w14:paraId="35E89B49" w14:textId="77777777" w:rsidR="004F7B82" w:rsidRDefault="004F7B82" w:rsidP="004F7B82">
      <w:pPr>
        <w:rPr>
          <w:lang w:val="es-ES" w:eastAsia="es-ES"/>
        </w:rPr>
      </w:pPr>
    </w:p>
    <w:p w14:paraId="09680AFA" w14:textId="6184C500" w:rsidR="00DE13E2" w:rsidRDefault="00DE13E2" w:rsidP="00DE13E2">
      <w:r w:rsidRPr="00E74382">
        <w:rPr>
          <w:b/>
        </w:rPr>
        <w:t>Fecha de entrega:</w:t>
      </w:r>
      <w:r>
        <w:t xml:space="preserve"> 14/1</w:t>
      </w:r>
      <w:r w:rsidR="000F272C">
        <w:t>2</w:t>
      </w:r>
    </w:p>
    <w:p w14:paraId="379A0AAC" w14:textId="77777777" w:rsidR="004F7B82" w:rsidRPr="004F7B82" w:rsidRDefault="004F7B82" w:rsidP="004F7B82">
      <w:pPr>
        <w:rPr>
          <w:lang w:val="es-ES" w:eastAsia="es-ES"/>
        </w:rPr>
      </w:pPr>
    </w:p>
    <w:p w14:paraId="2B984971" w14:textId="2C6E883D" w:rsidR="004F7B82" w:rsidRDefault="004F7B82" w:rsidP="0015463C">
      <w:pPr>
        <w:pStyle w:val="MTDisplayEquation"/>
        <w:numPr>
          <w:ilvl w:val="0"/>
          <w:numId w:val="4"/>
        </w:numPr>
        <w:tabs>
          <w:tab w:val="clear" w:pos="4600"/>
        </w:tabs>
      </w:pPr>
      <w:r>
        <w:t xml:space="preserve">Suponga que el equilibrio de una economía </w:t>
      </w:r>
      <w:r w:rsidR="00147D4E">
        <w:t>se define:</w:t>
      </w:r>
      <w:r>
        <w:t xml:space="preserve"> </w:t>
      </w:r>
    </w:p>
    <w:p w14:paraId="0C464F8B" w14:textId="77777777" w:rsidR="004F7B82" w:rsidRDefault="004F7B82" w:rsidP="00311056">
      <w:pPr>
        <w:numPr>
          <w:ilvl w:val="2"/>
          <w:numId w:val="2"/>
        </w:numPr>
        <w:ind w:left="1418" w:hanging="709"/>
      </w:pPr>
      <w:r>
        <w:t xml:space="preserve">Definición del tipo de interés real ex-ante: </w:t>
      </w:r>
      <w:r w:rsidR="00F85A27">
        <w:rPr>
          <w:position w:val="-12"/>
        </w:rPr>
        <w:pict w14:anchorId="128BC6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2pt;height:18.8pt">
            <v:imagedata r:id="rId7" o:title=""/>
          </v:shape>
        </w:pict>
      </w:r>
    </w:p>
    <w:p w14:paraId="6BB2227B" w14:textId="276D5538" w:rsidR="004F7B82" w:rsidRPr="000B5338" w:rsidRDefault="004F7B82" w:rsidP="00147D4E">
      <w:pPr>
        <w:ind w:left="1440"/>
      </w:pPr>
      <w:r>
        <w:t xml:space="preserve">donde </w:t>
      </w:r>
      <w:r w:rsidR="00F85A27">
        <w:rPr>
          <w:position w:val="-12"/>
        </w:rPr>
        <w:pict w14:anchorId="175C132C">
          <v:shape id="_x0000_i1026" type="#_x0000_t75" style="width:9.6pt;height:18pt">
            <v:imagedata r:id="rId8" o:title=""/>
          </v:shape>
        </w:pict>
      </w:r>
      <w:r>
        <w:t xml:space="preserve"> es el tipo de interés real ex-ante, </w:t>
      </w:r>
      <w:r w:rsidR="00F85A27">
        <w:rPr>
          <w:position w:val="-12"/>
        </w:rPr>
        <w:pict w14:anchorId="42584FFB">
          <v:shape id="_x0000_i1027" type="#_x0000_t75" style="width:12.4pt;height:18.8pt">
            <v:imagedata r:id="rId9" o:title=""/>
          </v:shape>
        </w:pict>
      </w:r>
      <w:r>
        <w:t xml:space="preserve"> es el tipo de interés nominal controlado por la autoridad monetaria, </w:t>
      </w:r>
      <w:r w:rsidR="00F85A27">
        <w:rPr>
          <w:position w:val="-12"/>
        </w:rPr>
        <w:pict w14:anchorId="51013795">
          <v:shape id="_x0000_i1028" type="#_x0000_t75" style="width:14.4pt;height:18pt">
            <v:imagedata r:id="rId10" o:title=""/>
          </v:shape>
        </w:pict>
      </w:r>
      <w:r>
        <w:t xml:space="preserve"> es la prima de riesgo y </w:t>
      </w:r>
      <w:r w:rsidR="00F85A27">
        <w:rPr>
          <w:position w:val="-12"/>
        </w:rPr>
        <w:pict w14:anchorId="36BE4272">
          <v:shape id="_x0000_i1029" type="#_x0000_t75" style="width:20.4pt;height:18.8pt">
            <v:imagedata r:id="rId11" o:title=""/>
          </v:shape>
        </w:pict>
      </w:r>
      <w:r>
        <w:t xml:space="preserve"> es la tasa de inflación esperada en el instante </w:t>
      </w:r>
      <w:r w:rsidRPr="000B5338">
        <w:rPr>
          <w:i/>
        </w:rPr>
        <w:t>t</w:t>
      </w:r>
      <w:r>
        <w:t xml:space="preserve"> sobre la inflación del siguiente periodo.</w:t>
      </w:r>
    </w:p>
    <w:p w14:paraId="2BE1C584" w14:textId="77777777" w:rsidR="004F7B82" w:rsidRDefault="004F7B82" w:rsidP="004F7B82">
      <w:pPr>
        <w:numPr>
          <w:ilvl w:val="2"/>
          <w:numId w:val="2"/>
        </w:numPr>
        <w:ind w:left="1418" w:hanging="709"/>
      </w:pPr>
      <w:r>
        <w:t>Equilibrio en el mercado de bienes log-</w:t>
      </w:r>
      <w:proofErr w:type="spellStart"/>
      <w:r>
        <w:t>linealizado</w:t>
      </w:r>
      <w:proofErr w:type="spellEnd"/>
      <w:r>
        <w:t xml:space="preserve"> alrededor del equilibrio a largo plazo: </w:t>
      </w:r>
      <w:r w:rsidR="00F85A27">
        <w:rPr>
          <w:position w:val="-14"/>
        </w:rPr>
        <w:pict w14:anchorId="3C07D7CC">
          <v:shape id="_x0000_i1030" type="#_x0000_t75" style="width:170pt;height:20.4pt">
            <v:imagedata r:id="rId12" o:title=""/>
          </v:shape>
        </w:pict>
      </w:r>
      <w:r>
        <w:t xml:space="preserve">, </w:t>
      </w:r>
    </w:p>
    <w:p w14:paraId="0F633259" w14:textId="77777777" w:rsidR="004F7B82" w:rsidRDefault="004F7B82" w:rsidP="004F7B82">
      <w:pPr>
        <w:ind w:left="1418"/>
      </w:pPr>
      <w:r>
        <w:t xml:space="preserve">donde las variables con “barra” denotan su nivel tendencial de largo plazo, y </w:t>
      </w:r>
      <w:r w:rsidR="00F85A27">
        <w:rPr>
          <w:position w:val="-12"/>
        </w:rPr>
        <w:pict w14:anchorId="13EE726C">
          <v:shape id="_x0000_i1031" type="#_x0000_t75" style="width:11.2pt;height:18pt">
            <v:imagedata r:id="rId13" o:title=""/>
          </v:shape>
        </w:pict>
      </w:r>
      <w:r>
        <w:t xml:space="preserve"> denota un shock de demanda relativo al estado de confianza de los consumidores y empresas sobre el crecimiento de la renta y la demanda futuras. Los parámetros son todos positivos.</w:t>
      </w:r>
    </w:p>
    <w:p w14:paraId="6B8F2831" w14:textId="19BB4942" w:rsidR="004F7B82" w:rsidRDefault="004F7B82" w:rsidP="00311056">
      <w:pPr>
        <w:numPr>
          <w:ilvl w:val="2"/>
          <w:numId w:val="2"/>
        </w:numPr>
        <w:ind w:left="1418" w:hanging="709"/>
      </w:pPr>
      <w:r>
        <w:t>Regla Monetaria (regla de Taylor):</w:t>
      </w:r>
      <w:r w:rsidR="00C41EBC" w:rsidRPr="00C41EBC">
        <w:rPr>
          <w:position w:val="-14"/>
        </w:rPr>
        <w:object w:dxaOrig="3680" w:dyaOrig="400" w14:anchorId="4C37F2F4">
          <v:shape id="_x0000_i1032" type="#_x0000_t75" style="width:184pt;height:20pt" o:ole="">
            <v:imagedata r:id="rId14" o:title=""/>
          </v:shape>
          <o:OLEObject Type="Embed" ProgID="Equation.DSMT4" ShapeID="_x0000_i1032" DrawAspect="Content" ObjectID="_1573968642" r:id="rId15"/>
        </w:object>
      </w:r>
      <w:r>
        <w:t xml:space="preserve"> </w:t>
      </w:r>
    </w:p>
    <w:p w14:paraId="6E05D1EA" w14:textId="77777777" w:rsidR="004F7B82" w:rsidRDefault="004F7B82" w:rsidP="004F7B82">
      <w:pPr>
        <w:ind w:left="1440"/>
      </w:pPr>
      <w:proofErr w:type="gramStart"/>
      <w:r>
        <w:t>donde</w:t>
      </w:r>
      <w:proofErr w:type="gramEnd"/>
      <w:r>
        <w:t xml:space="preserve"> suponemos que el tipo de interés real de equilibrio a largo plazo es </w:t>
      </w:r>
      <w:r w:rsidR="00F85A27">
        <w:rPr>
          <w:position w:val="-4"/>
        </w:rPr>
        <w:pict w14:anchorId="7CAD929F">
          <v:shape id="_x0000_i1033" type="#_x0000_t75" style="width:14.4pt;height:14.8pt">
            <v:imagedata r:id="rId16" o:title=""/>
          </v:shape>
        </w:pict>
      </w:r>
      <w:r>
        <w:t xml:space="preserve"> más la prima de riesgo a largo plazo </w:t>
      </w:r>
      <w:r w:rsidR="00F85A27">
        <w:rPr>
          <w:position w:val="-10"/>
        </w:rPr>
        <w:pict w14:anchorId="29DEDECA">
          <v:shape id="_x0000_i1034" type="#_x0000_t75" style="width:12.4pt;height:14.8pt">
            <v:imagedata r:id="rId17" o:title=""/>
          </v:shape>
        </w:pict>
      </w:r>
      <w:r>
        <w:t xml:space="preserve">, y </w:t>
      </w:r>
      <w:r w:rsidR="00F85A27">
        <w:rPr>
          <w:position w:val="-6"/>
        </w:rPr>
        <w:pict w14:anchorId="6615BD21">
          <v:shape id="_x0000_i1035" type="#_x0000_t75" style="width:14.8pt;height:16pt">
            <v:imagedata r:id="rId18" o:title=""/>
          </v:shape>
        </w:pict>
      </w:r>
      <w:r>
        <w:t xml:space="preserve"> es el objetivo de inflación de la Autoridad Monetaria.</w:t>
      </w:r>
    </w:p>
    <w:p w14:paraId="7052F06C" w14:textId="77777777" w:rsidR="004F7B82" w:rsidRDefault="004F7B82" w:rsidP="004F7B82">
      <w:pPr>
        <w:numPr>
          <w:ilvl w:val="2"/>
          <w:numId w:val="2"/>
        </w:numPr>
        <w:ind w:left="1440" w:hanging="731"/>
      </w:pPr>
      <w:r>
        <w:t xml:space="preserve">Regla Fiscal: suponemos una política activista del gobierno de modo que la variación en el gasto respecto de su nivel de largo plazo depende de forma </w:t>
      </w:r>
      <w:proofErr w:type="spellStart"/>
      <w:r>
        <w:t>contracíclica</w:t>
      </w:r>
      <w:proofErr w:type="spellEnd"/>
      <w:r>
        <w:t xml:space="preserve"> del output-gap de la forma siguiente:</w:t>
      </w:r>
    </w:p>
    <w:p w14:paraId="38DE4729" w14:textId="77777777" w:rsidR="004F7B82" w:rsidRDefault="004F7B82" w:rsidP="004F7B82">
      <w:pPr>
        <w:ind w:left="709"/>
      </w:pPr>
      <w:r>
        <w:tab/>
      </w:r>
      <w:r w:rsidR="00F85A27">
        <w:rPr>
          <w:position w:val="-14"/>
        </w:rPr>
        <w:pict w14:anchorId="6B057B58">
          <v:shape id="_x0000_i1036" type="#_x0000_t75" style="width:114.8pt;height:18.8pt">
            <v:imagedata r:id="rId19" o:title=""/>
          </v:shape>
        </w:pict>
      </w:r>
      <w:r>
        <w:t xml:space="preserve">, siendo </w:t>
      </w:r>
      <w:r w:rsidR="00F85A27">
        <w:rPr>
          <w:position w:val="-14"/>
        </w:rPr>
        <w:pict w14:anchorId="4C59CF70">
          <v:shape id="_x0000_i1037" type="#_x0000_t75" style="width:18pt;height:18.8pt">
            <v:imagedata r:id="rId20" o:title=""/>
          </v:shape>
        </w:pict>
      </w:r>
      <w:r>
        <w:t xml:space="preserve"> un error en el control del gasto.</w:t>
      </w:r>
    </w:p>
    <w:p w14:paraId="425CC756" w14:textId="5524A119" w:rsidR="004F7B82" w:rsidRDefault="004F7B82" w:rsidP="004F7B82">
      <w:pPr>
        <w:numPr>
          <w:ilvl w:val="2"/>
          <w:numId w:val="2"/>
        </w:numPr>
        <w:ind w:left="1440" w:hanging="731"/>
      </w:pPr>
      <w:r>
        <w:t>Oferta Agregada, con las características estudiadas en clase bajo un mercado de trabajo no competitivo (</w:t>
      </w:r>
      <w:r w:rsidR="00DE13E2">
        <w:t>salarios de eficiencia</w:t>
      </w:r>
      <w:r>
        <w:t xml:space="preserve">), en la que hemos añadido un </w:t>
      </w:r>
      <w:r w:rsidR="00566E1F">
        <w:t>factor determinante adicional: los tipos de interés reales, surgidos debido a que las empresas se endeudan para pagar al factor trabajo (por supuesto, el efecto sobre la oferta ha de ser negativo)</w:t>
      </w:r>
      <w:r>
        <w:t xml:space="preserve">: </w:t>
      </w:r>
    </w:p>
    <w:p w14:paraId="22208C62" w14:textId="4F534942" w:rsidR="00C41EBC" w:rsidRDefault="00C41EBC" w:rsidP="00C41EBC">
      <w:pPr>
        <w:ind w:left="1440" w:firstLine="684"/>
      </w:pPr>
      <w:r w:rsidRPr="00C41EBC">
        <w:rPr>
          <w:position w:val="-136"/>
          <w:sz w:val="40"/>
        </w:rPr>
        <w:object w:dxaOrig="4819" w:dyaOrig="2840" w14:anchorId="55B657CD">
          <v:shape id="_x0000_i1038" type="#_x0000_t75" style="width:211.2pt;height:124.8pt" o:ole="">
            <v:imagedata r:id="rId21" o:title=""/>
          </v:shape>
          <o:OLEObject Type="Embed" ProgID="Equation.DSMT4" ShapeID="_x0000_i1038" DrawAspect="Content" ObjectID="_1573968643" r:id="rId22"/>
        </w:object>
      </w:r>
    </w:p>
    <w:p w14:paraId="7C58071B" w14:textId="11DF79E8" w:rsidR="004F7B82" w:rsidRDefault="004F7B82" w:rsidP="004F7B82">
      <w:pPr>
        <w:ind w:left="1416" w:firstLine="708"/>
      </w:pPr>
    </w:p>
    <w:p w14:paraId="581580FB" w14:textId="77777777" w:rsidR="004F7B82" w:rsidRDefault="004F7B82" w:rsidP="004F7B82">
      <w:pPr>
        <w:rPr>
          <w:b/>
        </w:rPr>
      </w:pPr>
    </w:p>
    <w:p w14:paraId="2CAED4F0" w14:textId="2ADEB358" w:rsidR="009F7E94" w:rsidRDefault="009F7E94" w:rsidP="004F7B82">
      <w:pPr>
        <w:numPr>
          <w:ilvl w:val="1"/>
          <w:numId w:val="1"/>
        </w:numPr>
        <w:jc w:val="both"/>
      </w:pPr>
      <w:r>
        <w:t xml:space="preserve">Suponga que inicialmente la economía se encuentra en </w:t>
      </w:r>
      <w:r w:rsidR="006273A9">
        <w:t>el</w:t>
      </w:r>
      <w:r>
        <w:t xml:space="preserve"> equilibrio de largo plazo y todos los shocks toman su valor esperado. </w:t>
      </w:r>
      <w:r w:rsidR="004F7B82">
        <w:t>Bajo el supuesto de formación de expectativas de tipo adaptativo (</w:t>
      </w:r>
      <w:r w:rsidR="00F85A27">
        <w:rPr>
          <w:position w:val="-12"/>
        </w:rPr>
        <w:pict w14:anchorId="453996C5">
          <v:shape id="_x0000_i1039" type="#_x0000_t75" style="width:110.4pt;height:18.8pt">
            <v:imagedata r:id="rId23" o:title=""/>
          </v:shape>
        </w:pict>
      </w:r>
      <w:r w:rsidR="004F7B82">
        <w:t>)</w:t>
      </w:r>
      <w:r w:rsidR="00766F42">
        <w:t xml:space="preserve"> con</w:t>
      </w:r>
      <m:oMath>
        <m:r>
          <w:rPr>
            <w:rFonts w:ascii="Cambria Math" w:hAnsi="Cambria Math"/>
          </w:rPr>
          <m:t xml:space="preserve"> λ=1</m:t>
        </m:r>
      </m:oMath>
      <w:r w:rsidR="00617A1A">
        <w:t>,</w:t>
      </w:r>
      <w:r w:rsidR="004F7B82">
        <w:t xml:space="preserve"> y bajo el supu</w:t>
      </w:r>
      <w:r w:rsidR="00B37D47">
        <w:t>esto de expecta</w:t>
      </w:r>
      <w:r w:rsidR="00766F42">
        <w:t xml:space="preserve">tivas racionales </w:t>
      </w:r>
      <w:r w:rsidR="00B37D47">
        <w:t>(</w:t>
      </w:r>
      <w:r w:rsidR="00F85A27">
        <w:rPr>
          <w:position w:val="-12"/>
        </w:rPr>
        <w:pict w14:anchorId="4D59DA55">
          <v:shape id="_x0000_i1040" type="#_x0000_t75" style="width:54.8pt;height:18.8pt">
            <v:imagedata r:id="rId24" o:title=""/>
          </v:shape>
        </w:pict>
      </w:r>
      <w:r w:rsidR="004F7B82">
        <w:t xml:space="preserve">), </w:t>
      </w:r>
    </w:p>
    <w:p w14:paraId="3C92F29D" w14:textId="77777777" w:rsidR="00617A1A" w:rsidRDefault="00617A1A" w:rsidP="00617A1A">
      <w:pPr>
        <w:ind w:left="705"/>
        <w:jc w:val="both"/>
      </w:pPr>
    </w:p>
    <w:p w14:paraId="08DC4BDD" w14:textId="5C86E408" w:rsidR="006273A9" w:rsidRDefault="006273A9" w:rsidP="009F7E94">
      <w:pPr>
        <w:pStyle w:val="Prrafodelista"/>
        <w:numPr>
          <w:ilvl w:val="3"/>
          <w:numId w:val="2"/>
        </w:numPr>
        <w:tabs>
          <w:tab w:val="clear" w:pos="3225"/>
          <w:tab w:val="num" w:pos="1134"/>
        </w:tabs>
        <w:ind w:left="1134" w:hanging="425"/>
        <w:jc w:val="both"/>
      </w:pPr>
      <w:r>
        <w:t xml:space="preserve">obtenga la solución general para el output y la inflación del modelo, y represente gráficamente tanto las curvas de OA y DA, como la solución </w:t>
      </w:r>
      <w:bookmarkStart w:id="0" w:name="_GoBack"/>
      <w:bookmarkEnd w:id="0"/>
      <w:r>
        <w:t xml:space="preserve">de largo plazo obtenida incluyendo una caracterización precisa de todos los parámetros relevantes.   </w:t>
      </w:r>
    </w:p>
    <w:p w14:paraId="17C7D41A" w14:textId="21DABD31" w:rsidR="006273A9" w:rsidRDefault="006273A9" w:rsidP="009F7E94">
      <w:pPr>
        <w:pStyle w:val="Prrafodelista"/>
        <w:numPr>
          <w:ilvl w:val="3"/>
          <w:numId w:val="2"/>
        </w:numPr>
        <w:tabs>
          <w:tab w:val="clear" w:pos="3225"/>
          <w:tab w:val="num" w:pos="1134"/>
        </w:tabs>
        <w:ind w:left="1134" w:hanging="425"/>
        <w:jc w:val="both"/>
      </w:pPr>
      <w:r>
        <w:t xml:space="preserve">discuta </w:t>
      </w:r>
      <w:r w:rsidR="00617A1A">
        <w:t xml:space="preserve">en cada caso (expectativas adaptativas con </w:t>
      </w:r>
      <m:oMath>
        <m:r>
          <w:rPr>
            <w:rFonts w:ascii="Cambria Math" w:hAnsi="Cambria Math"/>
          </w:rPr>
          <m:t>λ=1</m:t>
        </m:r>
      </m:oMath>
      <w:r w:rsidR="00617A1A">
        <w:t xml:space="preserve"> y expectativas racionales) </w:t>
      </w:r>
      <w:r>
        <w:t>las consecuencias de considerar distintos valores de los pará</w:t>
      </w:r>
      <w:r w:rsidR="00617A1A">
        <w:t>m</w:t>
      </w:r>
      <w:r>
        <w:t xml:space="preserve">etros que determinan la pendiente y la posición de la OA y </w:t>
      </w:r>
      <w:r w:rsidR="00617A1A">
        <w:t xml:space="preserve">la </w:t>
      </w:r>
      <w:r>
        <w:t>DA</w:t>
      </w:r>
      <w:r w:rsidR="00617A1A">
        <w:t>.</w:t>
      </w:r>
      <w:r>
        <w:t xml:space="preserve">   </w:t>
      </w:r>
    </w:p>
    <w:p w14:paraId="3CBC0ACB" w14:textId="77777777" w:rsidR="00617A1A" w:rsidRDefault="006273A9" w:rsidP="009F7E94">
      <w:pPr>
        <w:pStyle w:val="Prrafodelista"/>
        <w:numPr>
          <w:ilvl w:val="3"/>
          <w:numId w:val="2"/>
        </w:numPr>
        <w:tabs>
          <w:tab w:val="clear" w:pos="3225"/>
          <w:tab w:val="num" w:pos="1134"/>
        </w:tabs>
        <w:ind w:left="1134" w:hanging="425"/>
        <w:jc w:val="both"/>
      </w:pPr>
      <w:r>
        <w:t xml:space="preserve">Discuta en cada caso </w:t>
      </w:r>
      <w:r w:rsidR="00617A1A">
        <w:t xml:space="preserve">(expectativas adaptativas con </w:t>
      </w:r>
      <m:oMath>
        <m:r>
          <w:rPr>
            <w:rFonts w:ascii="Cambria Math" w:hAnsi="Cambria Math"/>
          </w:rPr>
          <m:t>λ=1</m:t>
        </m:r>
      </m:oMath>
      <w:r w:rsidR="00617A1A">
        <w:t xml:space="preserve"> y expectativas racionales), </w:t>
      </w:r>
      <w:r>
        <w:t xml:space="preserve">la importancia de la existencia de una política fiscal más o menos </w:t>
      </w:r>
      <w:proofErr w:type="spellStart"/>
      <w:r>
        <w:t>contracíclica</w:t>
      </w:r>
      <w:proofErr w:type="spellEnd"/>
      <w:r>
        <w:t xml:space="preserve"> para contrarrestar la propagació</w:t>
      </w:r>
      <w:r w:rsidR="00617A1A">
        <w:t>n de posibles shocks de demanda. Considere para ello las</w:t>
      </w:r>
      <w:r>
        <w:t xml:space="preserve"> distintas configuraciones de signo de los coeficientes </w:t>
      </w:r>
      <w:r w:rsidR="00617A1A">
        <w:t xml:space="preserve">relevantes </w:t>
      </w:r>
      <w:r>
        <w:t xml:space="preserve">(función de los parámetros estructurales) para las respuestas </w:t>
      </w:r>
      <w:r w:rsidR="00617A1A">
        <w:t xml:space="preserve">de las variables endógenas </w:t>
      </w:r>
      <w:r>
        <w:t>en las formas reducidas obtenidas.</w:t>
      </w:r>
    </w:p>
    <w:p w14:paraId="53482880" w14:textId="5C873509" w:rsidR="006273A9" w:rsidRDefault="006273A9" w:rsidP="009F7E94">
      <w:pPr>
        <w:pStyle w:val="Prrafodelista"/>
        <w:numPr>
          <w:ilvl w:val="3"/>
          <w:numId w:val="2"/>
        </w:numPr>
        <w:tabs>
          <w:tab w:val="clear" w:pos="3225"/>
          <w:tab w:val="num" w:pos="1134"/>
        </w:tabs>
        <w:ind w:left="1134" w:hanging="425"/>
        <w:jc w:val="both"/>
      </w:pPr>
      <w:r>
        <w:t xml:space="preserve">Concretamente, discuta la intensidad de la respuesta del output y de la inflación a corto plazo ante un shock a la prima de riesgo (shock monetario) para valores bajos y altos del parámetro </w:t>
      </w:r>
      <m:oMath>
        <m:r>
          <w:rPr>
            <w:rFonts w:ascii="Cambria Math" w:hAnsi="Cambria Math"/>
          </w:rPr>
          <m:t>ψ</m:t>
        </m:r>
      </m:oMath>
      <w:r>
        <w:t xml:space="preserve">.   </w:t>
      </w:r>
    </w:p>
    <w:p w14:paraId="17C1CD0A" w14:textId="6FEAA4F9" w:rsidR="009F7E94" w:rsidRDefault="009F7E94" w:rsidP="006273A9">
      <w:pPr>
        <w:pStyle w:val="Prrafodelista"/>
        <w:ind w:left="1134"/>
        <w:jc w:val="both"/>
      </w:pPr>
    </w:p>
    <w:p w14:paraId="3A5B06CE" w14:textId="42DD9B44" w:rsidR="00617A1A" w:rsidRDefault="00617A1A" w:rsidP="004F7B82">
      <w:pPr>
        <w:numPr>
          <w:ilvl w:val="1"/>
          <w:numId w:val="1"/>
        </w:numPr>
        <w:jc w:val="both"/>
      </w:pPr>
      <w:r>
        <w:t>Suponiendo que los shocks de esta economía son ruidos blancos y para los siguientes valores paramétricos:</w:t>
      </w:r>
    </w:p>
    <w:p w14:paraId="4A53E211" w14:textId="207FEB21" w:rsidR="00C41EBC" w:rsidRDefault="00C41EBC" w:rsidP="00C41EBC">
      <w:pPr>
        <w:ind w:left="1413" w:firstLine="3"/>
        <w:jc w:val="both"/>
      </w:pPr>
      <w:r w:rsidRPr="00453CD9">
        <w:rPr>
          <w:position w:val="-72"/>
        </w:rPr>
        <w:object w:dxaOrig="5880" w:dyaOrig="1560" w14:anchorId="0F148005">
          <v:shape id="_x0000_i1041" type="#_x0000_t75" style="width:293.6pt;height:78pt" o:ole="">
            <v:imagedata r:id="rId25" o:title=""/>
          </v:shape>
          <o:OLEObject Type="Embed" ProgID="Equation.DSMT4" ShapeID="_x0000_i1041" DrawAspect="Content" ObjectID="_1573968644" r:id="rId26"/>
        </w:object>
      </w:r>
    </w:p>
    <w:p w14:paraId="4A9A5160" w14:textId="77777777" w:rsidR="00617A1A" w:rsidRDefault="00617A1A" w:rsidP="00617A1A">
      <w:pPr>
        <w:ind w:left="705"/>
        <w:jc w:val="both"/>
      </w:pPr>
    </w:p>
    <w:p w14:paraId="56A3EB2B" w14:textId="6FC7334D" w:rsidR="004F7B82" w:rsidRDefault="004F7B82" w:rsidP="00617A1A">
      <w:pPr>
        <w:ind w:left="705"/>
        <w:jc w:val="both"/>
      </w:pPr>
      <w:r>
        <w:t>Suponga que la economía actualmente (</w:t>
      </w:r>
      <w:r w:rsidRPr="00EE06AC">
        <w:rPr>
          <w:i/>
        </w:rPr>
        <w:t>t</w:t>
      </w:r>
      <w:r>
        <w:t xml:space="preserve">=0) está en equilibrio a largo plazo y que en el instante </w:t>
      </w:r>
      <w:r w:rsidRPr="00DB4032">
        <w:rPr>
          <w:i/>
        </w:rPr>
        <w:t>t</w:t>
      </w:r>
      <w:r>
        <w:t>=1 se produce un shock en la prima de riesgo tal que</w:t>
      </w:r>
      <w:r w:rsidR="00CA5CB8">
        <w:t xml:space="preserve"> </w:t>
      </w:r>
      <w:r w:rsidR="00CA5CB8" w:rsidRPr="00DB4032">
        <w:rPr>
          <w:position w:val="-12"/>
        </w:rPr>
        <w:object w:dxaOrig="2600" w:dyaOrig="360" w14:anchorId="0EE12EA5">
          <v:shape id="_x0000_i1042" type="#_x0000_t75" style="width:130pt;height:18pt" o:ole="">
            <v:imagedata r:id="rId27" o:title=""/>
          </v:shape>
          <o:OLEObject Type="Embed" ProgID="Equation.DSMT4" ShapeID="_x0000_i1042" DrawAspect="Content" ObjectID="_1573968645" r:id="rId28"/>
        </w:object>
      </w:r>
      <w:r>
        <w:t xml:space="preserve"> </w:t>
      </w:r>
      <w:r w:rsidR="00F85A27">
        <w:rPr>
          <w:position w:val="-12"/>
        </w:rPr>
        <w:pict w14:anchorId="6366F651">
          <v:shape id="_x0000_i1043" type="#_x0000_t75" style="width:123.2pt;height:18pt">
            <v:imagedata r:id="rId29" o:title=""/>
          </v:shape>
        </w:pict>
      </w:r>
      <w:r>
        <w:t>. Calcule y dibuje la función de respuesta a un impulso para el output, la inflación y los tipos de interés nominales y reales, tanto bajo un supuesto de formación de expectativas de tipo adaptativo como racional. Comente.</w:t>
      </w:r>
    </w:p>
    <w:p w14:paraId="6981B433" w14:textId="77777777" w:rsidR="004F7B82" w:rsidRDefault="004F7B82" w:rsidP="004F7B82">
      <w:pPr>
        <w:numPr>
          <w:ilvl w:val="1"/>
          <w:numId w:val="1"/>
        </w:numPr>
        <w:jc w:val="both"/>
      </w:pPr>
      <w:r>
        <w:t>Suponga que la economía actualmente (</w:t>
      </w:r>
      <w:r w:rsidRPr="00EE06AC">
        <w:rPr>
          <w:i/>
        </w:rPr>
        <w:t>t</w:t>
      </w:r>
      <w:r>
        <w:t xml:space="preserve">=0) está en equilibrio a largo plazo y que en el instante </w:t>
      </w:r>
      <w:r w:rsidRPr="00DB4032">
        <w:rPr>
          <w:i/>
        </w:rPr>
        <w:t>t</w:t>
      </w:r>
      <w:r>
        <w:t xml:space="preserve">=1 se produce un shock en la regla de gasto tal que </w:t>
      </w:r>
      <w:r w:rsidR="00F85A27">
        <w:rPr>
          <w:position w:val="-14"/>
        </w:rPr>
        <w:pict w14:anchorId="00046A8E">
          <v:shape id="_x0000_i1044" type="#_x0000_t75" style="width:132.8pt;height:18.8pt">
            <v:imagedata r:id="rId30" o:title=""/>
          </v:shape>
        </w:pict>
      </w:r>
      <w:r>
        <w:t>. Calcule y dibuje la función de respuesta a un impulso para el output, la inflación y los tipos de interés nominales y reales, tanto bajo un supuesto de formación de expectativas de tipo adaptativo como racional. Comente.</w:t>
      </w:r>
    </w:p>
    <w:p w14:paraId="2FEAF1BA" w14:textId="77777777" w:rsidR="004F7B82" w:rsidRDefault="004F7B82" w:rsidP="004F7B82">
      <w:pPr>
        <w:numPr>
          <w:ilvl w:val="1"/>
          <w:numId w:val="1"/>
        </w:numPr>
        <w:jc w:val="both"/>
      </w:pPr>
      <w:r>
        <w:t>Suponga que la economía actualmente (</w:t>
      </w:r>
      <w:r w:rsidRPr="00EE06AC">
        <w:rPr>
          <w:i/>
        </w:rPr>
        <w:t>t</w:t>
      </w:r>
      <w:r>
        <w:t xml:space="preserve">=0) está en equilibrio a largo plazo y que en el instante </w:t>
      </w:r>
      <w:r w:rsidRPr="00DB4032">
        <w:rPr>
          <w:i/>
        </w:rPr>
        <w:t>t</w:t>
      </w:r>
      <w:r>
        <w:t xml:space="preserve">=1 se produce un shock en productividad tal que </w:t>
      </w:r>
      <w:r w:rsidR="00F85A27">
        <w:rPr>
          <w:position w:val="-12"/>
        </w:rPr>
        <w:pict w14:anchorId="447876FE">
          <v:shape id="_x0000_i1045" type="#_x0000_t75" style="width:188.8pt;height:18.8pt">
            <v:imagedata r:id="rId31" o:title=""/>
          </v:shape>
        </w:pict>
      </w:r>
      <w:r>
        <w:t>. Calcule y dibuje la función de respuesta a un impulso para el output, la inflación y los tipos de interés nominales y reales, tanto bajo un supuesto de formación de expectativas de tipo adaptativo como racional. Comente.</w:t>
      </w:r>
    </w:p>
    <w:p w14:paraId="6348474F" w14:textId="77777777" w:rsidR="00A40BF6" w:rsidRDefault="00A40BF6" w:rsidP="00A40BF6">
      <w:pPr>
        <w:ind w:left="705"/>
        <w:jc w:val="both"/>
      </w:pPr>
    </w:p>
    <w:p w14:paraId="6FCA48A3" w14:textId="77777777" w:rsidR="00766F42" w:rsidRDefault="00766F42" w:rsidP="00766F42">
      <w:pPr>
        <w:pStyle w:val="MTDisplayEquation"/>
      </w:pPr>
      <w:r>
        <w:t>Estimación de una regla de Taylor.</w:t>
      </w:r>
    </w:p>
    <w:p w14:paraId="28B45967" w14:textId="2C465F5E" w:rsidR="00766F42" w:rsidRDefault="00766F42" w:rsidP="00766F42">
      <w:pPr>
        <w:pStyle w:val="MTDisplayEquation"/>
        <w:numPr>
          <w:ilvl w:val="0"/>
          <w:numId w:val="0"/>
        </w:numPr>
        <w:ind w:left="705"/>
        <w:rPr>
          <w:b w:val="0"/>
          <w:lang w:val="es-ES_tradnl" w:eastAsia="es-ES_tradnl"/>
        </w:rPr>
      </w:pPr>
      <w:r w:rsidRPr="00766F42">
        <w:rPr>
          <w:b w:val="0"/>
          <w:lang w:val="es-ES_tradnl" w:eastAsia="es-ES_tradnl"/>
        </w:rPr>
        <w:t>Suponga que la siguiente expresión describe el comportamiento de la Autoridad Monetaria de Estados Unidos:</w:t>
      </w:r>
    </w:p>
    <w:p w14:paraId="6CEE5217" w14:textId="77777777" w:rsidR="00341FE9" w:rsidRDefault="00341FE9" w:rsidP="00341FE9"/>
    <w:p w14:paraId="0DD03358" w14:textId="71C7BF5D" w:rsidR="00341FE9" w:rsidRPr="00341FE9" w:rsidRDefault="00CA5CB8" w:rsidP="00341FE9">
      <w:pPr>
        <w:jc w:val="center"/>
      </w:pPr>
      <w:r w:rsidRPr="00CA5CB8">
        <w:rPr>
          <w:position w:val="-16"/>
        </w:rPr>
        <w:object w:dxaOrig="3900" w:dyaOrig="440" w14:anchorId="41CD0864">
          <v:shape id="_x0000_i1046" type="#_x0000_t75" style="width:195.2pt;height:22pt" o:ole="">
            <v:imagedata r:id="rId32" o:title=""/>
          </v:shape>
          <o:OLEObject Type="Embed" ProgID="Equation.DSMT4" ShapeID="_x0000_i1046" DrawAspect="Content" ObjectID="_1573968646" r:id="rId33"/>
        </w:object>
      </w:r>
    </w:p>
    <w:p w14:paraId="3E56E6F1" w14:textId="21720448" w:rsidR="00341FE9" w:rsidRDefault="00341FE9" w:rsidP="000E4EF1">
      <w:pPr>
        <w:jc w:val="both"/>
      </w:pPr>
      <w:proofErr w:type="gramStart"/>
      <w:r>
        <w:t>donde</w:t>
      </w:r>
      <w:proofErr w:type="gramEnd"/>
      <w:r>
        <w:t xml:space="preserve"> suponemos que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</m:oMath>
      <w:r w:rsidR="000E4EF1">
        <w:t xml:space="preserve"> es </w:t>
      </w:r>
      <w:r>
        <w:t xml:space="preserve">el tipo de interés </w:t>
      </w:r>
      <w:r w:rsidR="000E4EF1">
        <w:t xml:space="preserve">nominal planeado por la Autoridad Monetaria,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t xml:space="preserve"> </w:t>
      </w:r>
      <w:r w:rsidR="000E4EF1">
        <w:t>es el tipo de interés real de equilibrio a largo plazo,</w:t>
      </w:r>
      <w:r>
        <w:t xml:space="preserve"> y </w:t>
      </w:r>
      <w:r>
        <w:rPr>
          <w:noProof/>
          <w:position w:val="-6"/>
          <w:lang w:val="es-ES" w:eastAsia="es-ES"/>
        </w:rPr>
        <w:drawing>
          <wp:inline distT="0" distB="0" distL="0" distR="0" wp14:anchorId="58EAAF60" wp14:editId="73EB50A3">
            <wp:extent cx="190500" cy="203200"/>
            <wp:effectExtent l="0" t="0" r="1270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es el objetivo de inflación de la Autoridad Monetaria.</w:t>
      </w:r>
    </w:p>
    <w:p w14:paraId="3EB14357" w14:textId="77777777" w:rsidR="00341FE9" w:rsidRPr="00766F42" w:rsidRDefault="00341FE9" w:rsidP="00766F42">
      <w:pPr>
        <w:jc w:val="center"/>
      </w:pPr>
    </w:p>
    <w:p w14:paraId="6BBF283C" w14:textId="5ACEC9EE" w:rsidR="00766F42" w:rsidRDefault="00766F42" w:rsidP="00766F42">
      <w:pPr>
        <w:jc w:val="both"/>
      </w:pPr>
      <w:r>
        <w:t xml:space="preserve">Sea </w:t>
      </w:r>
      <w:r w:rsidRPr="009B0D71">
        <w:rPr>
          <w:position w:val="-12"/>
        </w:rPr>
        <w:object w:dxaOrig="180" w:dyaOrig="360" w14:anchorId="05248741">
          <v:shape id="_x0000_i1047" type="#_x0000_t75" style="width:9.2pt;height:18pt" o:ole="">
            <v:imagedata r:id="rId35" o:title=""/>
          </v:shape>
          <o:OLEObject Type="Embed" ProgID="Equation.DSMT4" ShapeID="_x0000_i1047" DrawAspect="Content" ObjectID="_1573968647" r:id="rId36"/>
        </w:object>
      </w:r>
      <w:r>
        <w:t xml:space="preserve">  el tipo de interés nominal de mercado, </w:t>
      </w:r>
      <w:r w:rsidRPr="009B0D71">
        <w:rPr>
          <w:position w:val="-10"/>
        </w:rPr>
        <w:object w:dxaOrig="200" w:dyaOrig="320" w14:anchorId="6565774B">
          <v:shape id="_x0000_i1048" type="#_x0000_t75" style="width:9.6pt;height:16pt" o:ole="">
            <v:imagedata r:id="rId37" o:title=""/>
          </v:shape>
          <o:OLEObject Type="Embed" ProgID="Equation.DSMT4" ShapeID="_x0000_i1048" DrawAspect="Content" ObjectID="_1573968648" r:id="rId38"/>
        </w:object>
      </w:r>
      <w:r>
        <w:t xml:space="preserve">  la tasa a la que la Autoridad Monetaria quiere suavizar sus movimientos de tipo de interés, y </w:t>
      </w:r>
      <w:r w:rsidRPr="009B0D71">
        <w:rPr>
          <w:position w:val="-12"/>
        </w:rPr>
        <w:object w:dxaOrig="240" w:dyaOrig="360" w14:anchorId="009E584F">
          <v:shape id="_x0000_i1049" type="#_x0000_t75" style="width:12.4pt;height:18pt" o:ole="">
            <v:imagedata r:id="rId39" o:title=""/>
          </v:shape>
          <o:OLEObject Type="Embed" ProgID="Equation.DSMT4" ShapeID="_x0000_i1049" DrawAspect="Content" ObjectID="_1573968649" r:id="rId40"/>
        </w:object>
      </w:r>
      <w:r>
        <w:t xml:space="preserve"> una perturbación de política monetaria exógena (relacionada con la prima de riesgo, de modo que </w:t>
      </w:r>
      <w:r w:rsidRPr="009B0D71">
        <w:rPr>
          <w:position w:val="-12"/>
        </w:rPr>
        <w:object w:dxaOrig="2200" w:dyaOrig="380" w14:anchorId="55AE7CEE">
          <v:shape id="_x0000_i1050" type="#_x0000_t75" style="width:110.4pt;height:18.8pt" o:ole="">
            <v:imagedata r:id="rId41" o:title=""/>
          </v:shape>
          <o:OLEObject Type="Embed" ProgID="Equation.DSMT4" ShapeID="_x0000_i1050" DrawAspect="Content" ObjectID="_1573968650" r:id="rId42"/>
        </w:object>
      </w:r>
      <w:r>
        <w:t xml:space="preserve"> . A partir de esta expresión de suavizado y la Regla de Taylor descrita arriba, tenemos que la siguiente Regla de Taylor extendida:</w:t>
      </w:r>
    </w:p>
    <w:p w14:paraId="4A259D75" w14:textId="77777777" w:rsidR="00766F42" w:rsidRDefault="00766F42" w:rsidP="00766F42">
      <w:pPr>
        <w:jc w:val="both"/>
      </w:pPr>
    </w:p>
    <w:p w14:paraId="1F777B5D" w14:textId="72657F5A" w:rsidR="00766F42" w:rsidRDefault="00766F42" w:rsidP="00766F42">
      <w:pPr>
        <w:pStyle w:val="MTDisplayEquation"/>
        <w:numPr>
          <w:ilvl w:val="0"/>
          <w:numId w:val="0"/>
        </w:numPr>
        <w:ind w:left="705"/>
      </w:pPr>
      <w:r>
        <w:tab/>
      </w:r>
      <w:r w:rsidR="00CA5CB8" w:rsidRPr="009B0D71">
        <w:rPr>
          <w:position w:val="-18"/>
        </w:rPr>
        <w:object w:dxaOrig="5640" w:dyaOrig="480" w14:anchorId="21FB9313">
          <v:shape id="_x0000_i1051" type="#_x0000_t75" style="width:282pt;height:24pt" o:ole="">
            <v:imagedata r:id="rId43" o:title=""/>
          </v:shape>
          <o:OLEObject Type="Embed" ProgID="Equation.DSMT4" ShapeID="_x0000_i1051" DrawAspect="Content" ObjectID="_1573968651" r:id="rId44"/>
        </w:object>
      </w:r>
      <w:r>
        <w:t xml:space="preserve"> </w:t>
      </w:r>
    </w:p>
    <w:p w14:paraId="151B77EC" w14:textId="77777777" w:rsidR="00766F42" w:rsidRDefault="00766F42" w:rsidP="00766F42">
      <w:pPr>
        <w:jc w:val="both"/>
      </w:pPr>
    </w:p>
    <w:p w14:paraId="45C4521C" w14:textId="20165DDC" w:rsidR="00766F42" w:rsidRDefault="00766F42" w:rsidP="00766F42">
      <w:pPr>
        <w:jc w:val="both"/>
      </w:pPr>
      <w:r>
        <w:t>Dada la estructura de esta Regla de Taylor, también puede expresarse como:</w:t>
      </w:r>
    </w:p>
    <w:p w14:paraId="178EE646" w14:textId="77777777" w:rsidR="00766F42" w:rsidRPr="006420C3" w:rsidRDefault="00766F42" w:rsidP="00766F42">
      <w:pPr>
        <w:pStyle w:val="MTDisplayEquation"/>
        <w:numPr>
          <w:ilvl w:val="0"/>
          <w:numId w:val="0"/>
        </w:numPr>
        <w:ind w:left="705"/>
      </w:pPr>
      <w:r>
        <w:tab/>
      </w:r>
      <w:r w:rsidR="00CA5CB8" w:rsidRPr="009B0D71">
        <w:rPr>
          <w:position w:val="-44"/>
        </w:rPr>
        <w:object w:dxaOrig="6640" w:dyaOrig="720" w14:anchorId="4B461253">
          <v:shape id="_x0000_i1052" type="#_x0000_t75" style="width:332.4pt;height:36.4pt" o:ole="">
            <v:imagedata r:id="rId45" o:title=""/>
          </v:shape>
          <o:OLEObject Type="Embed" ProgID="Equation.DSMT4" ShapeID="_x0000_i1052" DrawAspect="Content" ObjectID="_1573968652" r:id="rId46"/>
        </w:object>
      </w:r>
      <w:r>
        <w:t xml:space="preserve"> ,</w:t>
      </w:r>
    </w:p>
    <w:p w14:paraId="6024C6B2" w14:textId="59D458A6" w:rsidR="00766F42" w:rsidRDefault="00766F42" w:rsidP="00766F42">
      <w:pPr>
        <w:jc w:val="both"/>
      </w:pPr>
      <w:r>
        <w:t>e</w:t>
      </w:r>
      <w:r w:rsidRPr="006420C3">
        <w:t>s</w:t>
      </w:r>
      <w:r>
        <w:t xml:space="preserve"> decir, la ecuación queda expresada como una relación susceptible de ser estimada:</w:t>
      </w:r>
    </w:p>
    <w:p w14:paraId="4259AFD2" w14:textId="77777777" w:rsidR="00766F42" w:rsidRDefault="00766F42" w:rsidP="00766F42">
      <w:pPr>
        <w:jc w:val="both"/>
      </w:pPr>
    </w:p>
    <w:p w14:paraId="7DE78E80" w14:textId="77777777" w:rsidR="00766F42" w:rsidRDefault="00766F42" w:rsidP="00766F42">
      <w:pPr>
        <w:pStyle w:val="MTDisplayEquation"/>
        <w:numPr>
          <w:ilvl w:val="0"/>
          <w:numId w:val="0"/>
        </w:numPr>
        <w:ind w:left="705"/>
      </w:pPr>
      <w:r>
        <w:tab/>
      </w:r>
      <w:r w:rsidRPr="006420C3">
        <w:rPr>
          <w:position w:val="-14"/>
        </w:rPr>
        <w:object w:dxaOrig="3640" w:dyaOrig="400" w14:anchorId="5A39CC7F">
          <v:shape id="_x0000_i1053" type="#_x0000_t75" style="width:182.4pt;height:20.4pt" o:ole="">
            <v:imagedata r:id="rId47" o:title=""/>
          </v:shape>
          <o:OLEObject Type="Embed" ProgID="Equation.DSMT4" ShapeID="_x0000_i1053" DrawAspect="Content" ObjectID="_1573968653" r:id="rId48"/>
        </w:object>
      </w:r>
      <w:r>
        <w:t xml:space="preserve"> .</w:t>
      </w:r>
      <w:r>
        <w:tab/>
        <w:t>(1)</w:t>
      </w:r>
    </w:p>
    <w:p w14:paraId="3752BDA9" w14:textId="6FE71DC0" w:rsidR="00766F42" w:rsidRDefault="00766F42" w:rsidP="00766F42">
      <w:pPr>
        <w:jc w:val="both"/>
        <w:rPr>
          <w:b/>
        </w:rPr>
      </w:pPr>
      <w:r>
        <w:t xml:space="preserve">Usando datos trimestrales de la economía de Estados Unidos, </w:t>
      </w:r>
      <w:r>
        <w:rPr>
          <w:b/>
        </w:rPr>
        <w:t xml:space="preserve">estime </w:t>
      </w:r>
      <w:r w:rsidRPr="006420C3">
        <w:rPr>
          <w:b/>
        </w:rPr>
        <w:t>l</w:t>
      </w:r>
      <w:r>
        <w:rPr>
          <w:b/>
        </w:rPr>
        <w:t>a</w:t>
      </w:r>
      <w:r w:rsidRPr="006420C3">
        <w:rPr>
          <w:b/>
        </w:rPr>
        <w:t xml:space="preserve"> regresión </w:t>
      </w:r>
      <w:r>
        <w:rPr>
          <w:b/>
        </w:rPr>
        <w:t xml:space="preserve">propuesta, </w:t>
      </w:r>
      <w:r w:rsidRPr="006420C3">
        <w:rPr>
          <w:b/>
        </w:rPr>
        <w:t xml:space="preserve">así como los parámetros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sub>
        </m:sSub>
      </m:oMath>
      <w:r w:rsidRPr="006420C3">
        <w:rPr>
          <w:b/>
        </w:rPr>
        <w:t xml:space="preserve"> y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</m:oMath>
      <w:r w:rsidRPr="006420C3">
        <w:rPr>
          <w:b/>
        </w:rPr>
        <w:t xml:space="preserve"> (con sus desviaciones típicas) y haga la inferencia acerca de si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sub>
        </m:sSub>
        <m:r>
          <m:rPr>
            <m:sty m:val="bi"/>
          </m:rPr>
          <w:rPr>
            <w:rFonts w:ascii="Cambria Math" w:hAnsi="Cambria Math"/>
          </w:rPr>
          <m:t>&lt;1</m:t>
        </m:r>
      </m:oMath>
      <w:r>
        <w:rPr>
          <w:b/>
        </w:rPr>
        <w:t xml:space="preserve"> </w:t>
      </w:r>
      <w:r w:rsidRPr="006420C3">
        <w:rPr>
          <w:b/>
        </w:rPr>
        <w:t>frente a la alternativa de que es igual a 1.</w:t>
      </w:r>
      <w:r>
        <w:rPr>
          <w:b/>
        </w:rPr>
        <w:t xml:space="preserve"> Utilice como tamaño </w:t>
      </w:r>
      <w:proofErr w:type="spellStart"/>
      <w:r>
        <w:rPr>
          <w:b/>
        </w:rPr>
        <w:t>muestral</w:t>
      </w:r>
      <w:proofErr w:type="spellEnd"/>
      <w:r>
        <w:rPr>
          <w:b/>
        </w:rPr>
        <w:t>: 1980:Q1-2017:Q3.</w:t>
      </w:r>
    </w:p>
    <w:p w14:paraId="106D3D6C" w14:textId="77777777" w:rsidR="00766F42" w:rsidRDefault="00766F42" w:rsidP="00766F42">
      <w:pPr>
        <w:jc w:val="both"/>
        <w:rPr>
          <w:b/>
        </w:rPr>
      </w:pPr>
    </w:p>
    <w:p w14:paraId="7C42CB4A" w14:textId="77777777" w:rsidR="00766F42" w:rsidRPr="006420C3" w:rsidRDefault="00766F42" w:rsidP="00766F42">
      <w:pPr>
        <w:jc w:val="both"/>
        <w:rPr>
          <w:b/>
        </w:rPr>
      </w:pPr>
      <w:r>
        <w:rPr>
          <w:b/>
        </w:rPr>
        <w:t>Pasos:</w:t>
      </w:r>
    </w:p>
    <w:p w14:paraId="297DE05A" w14:textId="49DA16A6" w:rsidR="00766F42" w:rsidRDefault="00766F42" w:rsidP="00766F42">
      <w:pPr>
        <w:jc w:val="both"/>
        <w:rPr>
          <w:rStyle w:val="Hipervnculo"/>
        </w:rPr>
      </w:pPr>
      <w:r>
        <w:t xml:space="preserve">Para obtener las series temporales de inflación, PIB y tipos de interés, use la base de datos de la Reserva Federal de </w:t>
      </w:r>
      <w:proofErr w:type="spellStart"/>
      <w:r>
        <w:t>Sant</w:t>
      </w:r>
      <w:proofErr w:type="spellEnd"/>
      <w:r>
        <w:t xml:space="preserve"> Louis (conocida como FRED): </w:t>
      </w:r>
      <w:hyperlink r:id="rId49" w:history="1">
        <w:r w:rsidRPr="00F320A0">
          <w:rPr>
            <w:rStyle w:val="Hipervnculo"/>
          </w:rPr>
          <w:t>https://fred.stlouisfed.org/</w:t>
        </w:r>
      </w:hyperlink>
    </w:p>
    <w:p w14:paraId="4EA3C3E8" w14:textId="77777777" w:rsidR="00766F42" w:rsidRDefault="00766F42" w:rsidP="00766F42">
      <w:pPr>
        <w:jc w:val="both"/>
      </w:pPr>
    </w:p>
    <w:p w14:paraId="5D14A9F2" w14:textId="1BFD6B59" w:rsidR="00766F42" w:rsidRDefault="00766F42" w:rsidP="00766F42">
      <w:pPr>
        <w:jc w:val="both"/>
      </w:pPr>
      <w:r w:rsidRPr="00766F42">
        <w:rPr>
          <w:lang w:val="en-US"/>
        </w:rPr>
        <w:t xml:space="preserve">Para el PIB. </w:t>
      </w:r>
      <w:proofErr w:type="spellStart"/>
      <w:r w:rsidRPr="00766F42">
        <w:rPr>
          <w:lang w:val="en-US"/>
        </w:rPr>
        <w:t>Obtenga</w:t>
      </w:r>
      <w:proofErr w:type="spellEnd"/>
      <w:r w:rsidRPr="00766F42">
        <w:rPr>
          <w:lang w:val="en-US"/>
        </w:rPr>
        <w:t xml:space="preserve"> de la base de </w:t>
      </w:r>
      <w:proofErr w:type="spellStart"/>
      <w:r w:rsidRPr="00766F42">
        <w:rPr>
          <w:lang w:val="en-US"/>
        </w:rPr>
        <w:t>datos</w:t>
      </w:r>
      <w:proofErr w:type="spellEnd"/>
      <w:r w:rsidRPr="00766F42">
        <w:rPr>
          <w:lang w:val="en-US"/>
        </w:rPr>
        <w:t xml:space="preserve">: Real Gross Domestic Product (Billions of Chained 2009 Dollars, Quarterly, Seasonally Adjusted Annual Rate). </w:t>
      </w:r>
      <w:proofErr w:type="spellStart"/>
      <w:r>
        <w:t>Tranforme</w:t>
      </w:r>
      <w:proofErr w:type="spellEnd"/>
      <w:r>
        <w:t xml:space="preserve"> en logaritmos, y use como output-gap el componente cíclico obtenido del filtro de </w:t>
      </w:r>
      <w:proofErr w:type="spellStart"/>
      <w:r>
        <w:t>Hodrcik</w:t>
      </w:r>
      <w:proofErr w:type="spellEnd"/>
      <w:r>
        <w:t xml:space="preserve"> y Prescott</w:t>
      </w:r>
      <w:r w:rsidR="00CA5CB8">
        <w:t xml:space="preserve"> (tome </w:t>
      </w:r>
      <w:r w:rsidR="00CA5CB8" w:rsidRPr="00CA5CB8">
        <w:rPr>
          <w:position w:val="-6"/>
        </w:rPr>
        <w:object w:dxaOrig="920" w:dyaOrig="279" w14:anchorId="748CFA4E">
          <v:shape id="_x0000_i1054" type="#_x0000_t75" style="width:46pt;height:14pt" o:ole="">
            <v:imagedata r:id="rId50" o:title=""/>
          </v:shape>
          <o:OLEObject Type="Embed" ProgID="Equation.DSMT4" ShapeID="_x0000_i1054" DrawAspect="Content" ObjectID="_1573968654" r:id="rId51"/>
        </w:object>
      </w:r>
      <w:r w:rsidR="00CA5CB8">
        <w:t>)</w:t>
      </w:r>
      <w:r>
        <w:t>. A este componente multiplíquelo por 100 para transformarlo en tantos por ciento.</w:t>
      </w:r>
    </w:p>
    <w:p w14:paraId="311D63C3" w14:textId="77777777" w:rsidR="00766F42" w:rsidRDefault="00766F42" w:rsidP="00766F42">
      <w:pPr>
        <w:jc w:val="both"/>
      </w:pPr>
    </w:p>
    <w:p w14:paraId="7CC88D2A" w14:textId="4F88EC4E" w:rsidR="00766F42" w:rsidRDefault="00766F42" w:rsidP="00766F42">
      <w:pPr>
        <w:jc w:val="both"/>
      </w:pPr>
      <w:r>
        <w:t xml:space="preserve">Para la inflación. Obtenga de la base de datos: </w:t>
      </w:r>
      <w:proofErr w:type="spellStart"/>
      <w:r w:rsidRPr="003D155A">
        <w:t>Consumer</w:t>
      </w:r>
      <w:proofErr w:type="spellEnd"/>
      <w:r w:rsidRPr="003D155A">
        <w:t xml:space="preserve"> Price </w:t>
      </w:r>
      <w:proofErr w:type="spellStart"/>
      <w:r w:rsidRPr="003D155A">
        <w:t>Index</w:t>
      </w:r>
      <w:proofErr w:type="spellEnd"/>
      <w:r w:rsidRPr="003D155A">
        <w:t xml:space="preserve"> </w:t>
      </w:r>
      <w:proofErr w:type="spellStart"/>
      <w:r w:rsidRPr="003D155A">
        <w:t>for</w:t>
      </w:r>
      <w:proofErr w:type="spellEnd"/>
      <w:r w:rsidRPr="003D155A">
        <w:t xml:space="preserve"> </w:t>
      </w:r>
      <w:proofErr w:type="spellStart"/>
      <w:r w:rsidRPr="003D155A">
        <w:t>All</w:t>
      </w:r>
      <w:proofErr w:type="spellEnd"/>
      <w:r w:rsidRPr="003D155A">
        <w:t xml:space="preserve"> </w:t>
      </w:r>
      <w:proofErr w:type="spellStart"/>
      <w:r w:rsidRPr="003D155A">
        <w:t>Urban</w:t>
      </w:r>
      <w:proofErr w:type="spellEnd"/>
      <w:r w:rsidRPr="003D155A">
        <w:t xml:space="preserve"> </w:t>
      </w:r>
      <w:proofErr w:type="spellStart"/>
      <w:r w:rsidRPr="003D155A">
        <w:t>Consumers</w:t>
      </w:r>
      <w:proofErr w:type="spellEnd"/>
      <w:r w:rsidRPr="003D155A">
        <w:t xml:space="preserve">: </w:t>
      </w:r>
      <w:proofErr w:type="spellStart"/>
      <w:r w:rsidRPr="003D155A">
        <w:t>All</w:t>
      </w:r>
      <w:proofErr w:type="spellEnd"/>
      <w:r w:rsidRPr="003D155A">
        <w:t xml:space="preserve"> </w:t>
      </w:r>
      <w:proofErr w:type="spellStart"/>
      <w:r w:rsidRPr="003D155A">
        <w:t>Items</w:t>
      </w:r>
      <w:proofErr w:type="spellEnd"/>
      <w:r>
        <w:t xml:space="preserve"> (</w:t>
      </w:r>
      <w:proofErr w:type="spellStart"/>
      <w:r>
        <w:t>Monthly</w:t>
      </w:r>
      <w:proofErr w:type="spellEnd"/>
      <w:r>
        <w:t xml:space="preserve">, </w:t>
      </w:r>
      <w:proofErr w:type="spellStart"/>
      <w:r>
        <w:t>seasonally</w:t>
      </w:r>
      <w:proofErr w:type="spellEnd"/>
      <w:r>
        <w:t xml:space="preserve"> </w:t>
      </w:r>
      <w:proofErr w:type="spellStart"/>
      <w:r>
        <w:t>adjusted</w:t>
      </w:r>
      <w:proofErr w:type="spellEnd"/>
      <w:r>
        <w:t xml:space="preserve">). </w:t>
      </w:r>
      <w:proofErr w:type="spellStart"/>
      <w:r>
        <w:t>Trimestralice</w:t>
      </w:r>
      <w:proofErr w:type="spellEnd"/>
      <w:r>
        <w:t xml:space="preserve"> esta serie, tomando medias aritméticas por trimestre. Calcule la tasa de crecimiento trimestral en tantos por ciento para obtener una medida de inflación.</w:t>
      </w:r>
    </w:p>
    <w:p w14:paraId="52DE5C94" w14:textId="77777777" w:rsidR="00766F42" w:rsidRDefault="00766F42" w:rsidP="00766F42">
      <w:pPr>
        <w:jc w:val="both"/>
      </w:pPr>
    </w:p>
    <w:p w14:paraId="34DC85CF" w14:textId="3792775A" w:rsidR="00766F42" w:rsidRDefault="00766F42" w:rsidP="00766F42">
      <w:pPr>
        <w:jc w:val="both"/>
      </w:pPr>
      <w:r>
        <w:t xml:space="preserve">Para los tipos de interés nominales. </w:t>
      </w:r>
      <w:proofErr w:type="spellStart"/>
      <w:r w:rsidRPr="00766F42">
        <w:rPr>
          <w:lang w:val="en-US"/>
        </w:rPr>
        <w:t>Obtenga</w:t>
      </w:r>
      <w:proofErr w:type="spellEnd"/>
      <w:r w:rsidRPr="00766F42">
        <w:rPr>
          <w:lang w:val="en-US"/>
        </w:rPr>
        <w:t xml:space="preserve"> de la base de </w:t>
      </w:r>
      <w:proofErr w:type="spellStart"/>
      <w:r w:rsidRPr="00766F42">
        <w:rPr>
          <w:lang w:val="en-US"/>
        </w:rPr>
        <w:t>datos</w:t>
      </w:r>
      <w:proofErr w:type="spellEnd"/>
      <w:r w:rsidRPr="00766F42">
        <w:rPr>
          <w:lang w:val="en-US"/>
        </w:rPr>
        <w:t xml:space="preserve">: 3-Month Treasury Bill: Secondary Market Rate (Monthly). </w:t>
      </w:r>
      <w:proofErr w:type="spellStart"/>
      <w:r>
        <w:t>Trimestralice</w:t>
      </w:r>
      <w:proofErr w:type="spellEnd"/>
      <w:r>
        <w:t xml:space="preserve"> la serie, tomando medias aritméticas por trimestre. Use tantos por ciento.</w:t>
      </w:r>
    </w:p>
    <w:p w14:paraId="08F98C85" w14:textId="77777777" w:rsidR="00766F42" w:rsidRDefault="00766F42" w:rsidP="00766F42">
      <w:pPr>
        <w:jc w:val="both"/>
      </w:pPr>
    </w:p>
    <w:p w14:paraId="0B06324A" w14:textId="77777777" w:rsidR="00766F42" w:rsidRDefault="00766F42" w:rsidP="00766F42">
      <w:pPr>
        <w:jc w:val="both"/>
      </w:pPr>
      <w:r>
        <w:t>Estime la regresión dada en (1). Haga diagnosis de los residuos de la regresión y añada, si fuera necesario un modelo arma para los residuos.</w:t>
      </w:r>
    </w:p>
    <w:p w14:paraId="07C3FD6E" w14:textId="53036800" w:rsidR="00766F42" w:rsidRDefault="00766F42" w:rsidP="00766F42">
      <w:pPr>
        <w:jc w:val="both"/>
      </w:pPr>
      <w:r>
        <w:lastRenderedPageBreak/>
        <w:t xml:space="preserve">Estime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sub>
        </m:sSub>
      </m:oMath>
      <w:r w:rsidRPr="00766F42">
        <w:t xml:space="preserve"> 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y</m:t>
            </m:r>
          </m:sub>
        </m:sSub>
      </m:oMath>
      <w:r>
        <w:t xml:space="preserve"> como sigue, así como sus varianzas, para obtener, a partir de ellas, la desviación típica:</w:t>
      </w:r>
    </w:p>
    <w:p w14:paraId="04DE0F73" w14:textId="77777777" w:rsidR="00766F42" w:rsidRDefault="00766F42" w:rsidP="00766F42">
      <w:pPr>
        <w:pStyle w:val="MTDisplayEquation"/>
        <w:numPr>
          <w:ilvl w:val="0"/>
          <w:numId w:val="0"/>
        </w:numPr>
        <w:ind w:left="705" w:hanging="705"/>
      </w:pPr>
      <w:r>
        <w:tab/>
      </w:r>
      <w:r w:rsidR="00CA5CB8" w:rsidRPr="001639EE">
        <w:rPr>
          <w:position w:val="-146"/>
        </w:rPr>
        <w:object w:dxaOrig="7500" w:dyaOrig="3040" w14:anchorId="766715E0">
          <v:shape id="_x0000_i1055" type="#_x0000_t75" style="width:375.2pt;height:152.8pt" o:ole="">
            <v:imagedata r:id="rId52" o:title=""/>
          </v:shape>
          <o:OLEObject Type="Embed" ProgID="Equation.DSMT4" ShapeID="_x0000_i1055" DrawAspect="Content" ObjectID="_1573968655" r:id="rId53"/>
        </w:object>
      </w:r>
      <w:r>
        <w:t xml:space="preserve"> </w:t>
      </w:r>
    </w:p>
    <w:p w14:paraId="560361E1" w14:textId="77777777" w:rsidR="00766F42" w:rsidRPr="006420C3" w:rsidRDefault="00766F42" w:rsidP="00766F42"/>
    <w:p w14:paraId="331180A5" w14:textId="41810F23" w:rsidR="00766F42" w:rsidRPr="00766F42" w:rsidRDefault="00766F42" w:rsidP="00A40BF6">
      <w:pPr>
        <w:ind w:left="705"/>
        <w:jc w:val="both"/>
      </w:pPr>
    </w:p>
    <w:p w14:paraId="0F2E7959" w14:textId="04F217B0" w:rsidR="00766F42" w:rsidRDefault="00766F42" w:rsidP="00A40BF6">
      <w:pPr>
        <w:ind w:left="705"/>
        <w:jc w:val="both"/>
      </w:pPr>
    </w:p>
    <w:p w14:paraId="568371EF" w14:textId="0BB6C41B" w:rsidR="00766F42" w:rsidRDefault="00766F42" w:rsidP="00A40BF6">
      <w:pPr>
        <w:ind w:left="705"/>
        <w:jc w:val="both"/>
      </w:pPr>
    </w:p>
    <w:p w14:paraId="7D8DF0F5" w14:textId="77777777" w:rsidR="00766F42" w:rsidRDefault="00766F42" w:rsidP="00A40BF6">
      <w:pPr>
        <w:ind w:left="705"/>
        <w:jc w:val="both"/>
      </w:pPr>
    </w:p>
    <w:p w14:paraId="67483B0C" w14:textId="77777777" w:rsidR="00D64CD1" w:rsidRDefault="00D64CD1" w:rsidP="00A40BF6">
      <w:pPr>
        <w:ind w:left="705"/>
        <w:jc w:val="both"/>
      </w:pPr>
    </w:p>
    <w:sectPr w:rsidR="00D64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60A"/>
    <w:multiLevelType w:val="hybridMultilevel"/>
    <w:tmpl w:val="1D6E4F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E4B86"/>
    <w:multiLevelType w:val="multilevel"/>
    <w:tmpl w:val="377855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>
    <w:nsid w:val="49FB73D6"/>
    <w:multiLevelType w:val="multilevel"/>
    <w:tmpl w:val="9036FDEE"/>
    <w:lvl w:ilvl="0">
      <w:start w:val="1"/>
      <w:numFmt w:val="decimal"/>
      <w:pStyle w:val="MTDisplayEquation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4B52544"/>
    <w:multiLevelType w:val="hybridMultilevel"/>
    <w:tmpl w:val="69A8BC36"/>
    <w:lvl w:ilvl="0" w:tplc="25C69E9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044F5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11BEFCF6">
      <w:start w:val="1"/>
      <w:numFmt w:val="lowerLetter"/>
      <w:lvlText w:val="%4)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82"/>
    <w:rsid w:val="00062564"/>
    <w:rsid w:val="000E4EF1"/>
    <w:rsid w:val="000F272C"/>
    <w:rsid w:val="00103439"/>
    <w:rsid w:val="0014230D"/>
    <w:rsid w:val="00147D4E"/>
    <w:rsid w:val="0015463C"/>
    <w:rsid w:val="00215FD6"/>
    <w:rsid w:val="002F5847"/>
    <w:rsid w:val="00311056"/>
    <w:rsid w:val="00333405"/>
    <w:rsid w:val="00341FE9"/>
    <w:rsid w:val="00366AF2"/>
    <w:rsid w:val="00453CD9"/>
    <w:rsid w:val="004F7B82"/>
    <w:rsid w:val="00566E1F"/>
    <w:rsid w:val="0059269B"/>
    <w:rsid w:val="005C5F82"/>
    <w:rsid w:val="005E3320"/>
    <w:rsid w:val="00617A1A"/>
    <w:rsid w:val="006273A9"/>
    <w:rsid w:val="006363CE"/>
    <w:rsid w:val="0064507A"/>
    <w:rsid w:val="006553AA"/>
    <w:rsid w:val="00766F42"/>
    <w:rsid w:val="007D7BC5"/>
    <w:rsid w:val="008B24F0"/>
    <w:rsid w:val="00971D59"/>
    <w:rsid w:val="00993A86"/>
    <w:rsid w:val="009F7E94"/>
    <w:rsid w:val="00A27EC7"/>
    <w:rsid w:val="00A40BF6"/>
    <w:rsid w:val="00AA7351"/>
    <w:rsid w:val="00B37D47"/>
    <w:rsid w:val="00B42BFB"/>
    <w:rsid w:val="00C0665A"/>
    <w:rsid w:val="00C41EBC"/>
    <w:rsid w:val="00C849F6"/>
    <w:rsid w:val="00CA5CB8"/>
    <w:rsid w:val="00D20045"/>
    <w:rsid w:val="00D64CD1"/>
    <w:rsid w:val="00DE13E2"/>
    <w:rsid w:val="00ED2D9E"/>
    <w:rsid w:val="00F23722"/>
    <w:rsid w:val="00F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627A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ar"/>
    <w:rsid w:val="004F7B82"/>
    <w:pPr>
      <w:numPr>
        <w:numId w:val="1"/>
      </w:numPr>
      <w:tabs>
        <w:tab w:val="clear" w:pos="705"/>
        <w:tab w:val="center" w:pos="4600"/>
        <w:tab w:val="right" w:pos="8500"/>
      </w:tabs>
      <w:jc w:val="both"/>
    </w:pPr>
    <w:rPr>
      <w:b/>
      <w:lang w:val="es-ES" w:eastAsia="es-ES"/>
    </w:rPr>
  </w:style>
  <w:style w:type="paragraph" w:styleId="Prrafodelista">
    <w:name w:val="List Paragraph"/>
    <w:basedOn w:val="Normal"/>
    <w:uiPriority w:val="34"/>
    <w:qFormat/>
    <w:rsid w:val="009F7E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0BF6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A73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35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351"/>
    <w:rPr>
      <w:rFonts w:ascii="Lucida Grande" w:eastAsia="Times New Roman" w:hAnsi="Lucida Grande" w:cs="Times New Roman"/>
      <w:sz w:val="18"/>
      <w:szCs w:val="18"/>
      <w:lang w:val="es-ES_tradnl" w:eastAsia="es-ES_tradnl"/>
    </w:rPr>
  </w:style>
  <w:style w:type="character" w:customStyle="1" w:styleId="MTDisplayEquationCar">
    <w:name w:val="MTDisplayEquation Car"/>
    <w:basedOn w:val="Fuentedeprrafopredeter"/>
    <w:link w:val="MTDisplayEquation"/>
    <w:rsid w:val="00766F42"/>
    <w:rPr>
      <w:rFonts w:ascii="Times New Roman" w:eastAsia="Times New Roman" w:hAnsi="Times New Roman" w:cs="Times New Roman"/>
      <w:b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ar"/>
    <w:rsid w:val="004F7B82"/>
    <w:pPr>
      <w:numPr>
        <w:numId w:val="1"/>
      </w:numPr>
      <w:tabs>
        <w:tab w:val="clear" w:pos="705"/>
        <w:tab w:val="center" w:pos="4600"/>
        <w:tab w:val="right" w:pos="8500"/>
      </w:tabs>
      <w:jc w:val="both"/>
    </w:pPr>
    <w:rPr>
      <w:b/>
      <w:lang w:val="es-ES" w:eastAsia="es-ES"/>
    </w:rPr>
  </w:style>
  <w:style w:type="paragraph" w:styleId="Prrafodelista">
    <w:name w:val="List Paragraph"/>
    <w:basedOn w:val="Normal"/>
    <w:uiPriority w:val="34"/>
    <w:qFormat/>
    <w:rsid w:val="009F7E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40BF6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A73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35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351"/>
    <w:rPr>
      <w:rFonts w:ascii="Lucida Grande" w:eastAsia="Times New Roman" w:hAnsi="Lucida Grande" w:cs="Times New Roman"/>
      <w:sz w:val="18"/>
      <w:szCs w:val="18"/>
      <w:lang w:val="es-ES_tradnl" w:eastAsia="es-ES_tradnl"/>
    </w:rPr>
  </w:style>
  <w:style w:type="character" w:customStyle="1" w:styleId="MTDisplayEquationCar">
    <w:name w:val="MTDisplayEquation Car"/>
    <w:basedOn w:val="Fuentedeprrafopredeter"/>
    <w:link w:val="MTDisplayEquation"/>
    <w:rsid w:val="00766F42"/>
    <w:rPr>
      <w:rFonts w:ascii="Times New Roman" w:eastAsia="Times New Roman" w:hAnsi="Times New Roman" w:cs="Times New Roman"/>
      <w:b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26" Type="http://schemas.openxmlformats.org/officeDocument/2006/relationships/oleObject" Target="embeddings/oleObject3.bin"/><Relationship Id="rId39" Type="http://schemas.openxmlformats.org/officeDocument/2006/relationships/image" Target="media/image26.wmf"/><Relationship Id="rId21" Type="http://schemas.openxmlformats.org/officeDocument/2006/relationships/image" Target="media/image14.wmf"/><Relationship Id="rId34" Type="http://schemas.openxmlformats.org/officeDocument/2006/relationships/image" Target="media/image23.wmf"/><Relationship Id="rId42" Type="http://schemas.openxmlformats.org/officeDocument/2006/relationships/oleObject" Target="embeddings/oleObject9.bin"/><Relationship Id="rId47" Type="http://schemas.openxmlformats.org/officeDocument/2006/relationships/image" Target="media/image30.wmf"/><Relationship Id="rId50" Type="http://schemas.openxmlformats.org/officeDocument/2006/relationships/image" Target="media/image31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image" Target="media/image17.wmf"/><Relationship Id="rId33" Type="http://schemas.openxmlformats.org/officeDocument/2006/relationships/oleObject" Target="embeddings/oleObject5.bin"/><Relationship Id="rId38" Type="http://schemas.openxmlformats.org/officeDocument/2006/relationships/oleObject" Target="embeddings/oleObject7.bin"/><Relationship Id="rId46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19.wmf"/><Relationship Id="rId41" Type="http://schemas.openxmlformats.org/officeDocument/2006/relationships/image" Target="media/image2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2.wmf"/><Relationship Id="rId37" Type="http://schemas.openxmlformats.org/officeDocument/2006/relationships/image" Target="media/image25.wmf"/><Relationship Id="rId40" Type="http://schemas.openxmlformats.org/officeDocument/2006/relationships/oleObject" Target="embeddings/oleObject8.bin"/><Relationship Id="rId45" Type="http://schemas.openxmlformats.org/officeDocument/2006/relationships/image" Target="media/image29.wmf"/><Relationship Id="rId53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5.w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6.bin"/><Relationship Id="rId49" Type="http://schemas.openxmlformats.org/officeDocument/2006/relationships/hyperlink" Target="https://fred.stlouisfed.org/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1.wmf"/><Relationship Id="rId44" Type="http://schemas.openxmlformats.org/officeDocument/2006/relationships/oleObject" Target="embeddings/oleObject10.bin"/><Relationship Id="rId52" Type="http://schemas.openxmlformats.org/officeDocument/2006/relationships/image" Target="media/image32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oleObject" Target="embeddings/oleObject2.bin"/><Relationship Id="rId27" Type="http://schemas.openxmlformats.org/officeDocument/2006/relationships/image" Target="media/image18.wmf"/><Relationship Id="rId30" Type="http://schemas.openxmlformats.org/officeDocument/2006/relationships/image" Target="media/image20.wmf"/><Relationship Id="rId35" Type="http://schemas.openxmlformats.org/officeDocument/2006/relationships/image" Target="media/image24.wmf"/><Relationship Id="rId43" Type="http://schemas.openxmlformats.org/officeDocument/2006/relationships/image" Target="media/image28.wmf"/><Relationship Id="rId48" Type="http://schemas.openxmlformats.org/officeDocument/2006/relationships/oleObject" Target="embeddings/oleObject12.bin"/><Relationship Id="rId8" Type="http://schemas.openxmlformats.org/officeDocument/2006/relationships/image" Target="media/image2.wmf"/><Relationship Id="rId51" Type="http://schemas.openxmlformats.org/officeDocument/2006/relationships/oleObject" Target="embeddings/oleObject13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9F21-78E2-42FF-A367-2379F3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Ruiz (ICAE)</dc:creator>
  <cp:lastModifiedBy>Jesus Ruiz Andujar</cp:lastModifiedBy>
  <cp:revision>2</cp:revision>
  <dcterms:created xsi:type="dcterms:W3CDTF">2017-12-05T07:44:00Z</dcterms:created>
  <dcterms:modified xsi:type="dcterms:W3CDTF">2017-12-05T07:44:00Z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