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71" w:rsidRPr="00FE294D" w:rsidRDefault="00214A71" w:rsidP="00214A71">
      <w:pPr>
        <w:pStyle w:val="Textoindependiente"/>
        <w:spacing w:line="240" w:lineRule="auto"/>
        <w:ind w:firstLine="720"/>
        <w:rPr>
          <w:rFonts w:ascii="Helvetica" w:hAnsi="Helvetica" w:cs="Helvetica"/>
          <w:color w:val="7030A0"/>
        </w:rPr>
      </w:pPr>
      <w:r w:rsidRPr="00FE294D">
        <w:rPr>
          <w:rFonts w:ascii="Helvetica" w:hAnsi="Helvetica" w:cs="Helvetica"/>
          <w:b/>
          <w:color w:val="7030A0"/>
        </w:rPr>
        <w:t>Ejemplos de textos modelo para cada uno de los subtipos propuestos por Meyer</w:t>
      </w:r>
      <w:r w:rsidRPr="00FE294D">
        <w:rPr>
          <w:rFonts w:ascii="Helvetica" w:hAnsi="Helvetica" w:cs="Helvetica"/>
          <w:color w:val="7030A0"/>
        </w:rPr>
        <w:t>:</w:t>
      </w:r>
    </w:p>
    <w:p w:rsidR="00214A71" w:rsidRPr="00FE294D" w:rsidRDefault="00214A71" w:rsidP="00214A71">
      <w:pPr>
        <w:pStyle w:val="Textoindependiente"/>
        <w:ind w:firstLine="720"/>
        <w:rPr>
          <w:rFonts w:ascii="Helvetica" w:hAnsi="Helvetica" w:cs="Helvetica"/>
          <w:color w:val="555555"/>
        </w:rPr>
      </w:pPr>
    </w:p>
    <w:p w:rsidR="00214A71" w:rsidRPr="00FE294D" w:rsidRDefault="00214A71" w:rsidP="00214A71">
      <w:pPr>
        <w:pStyle w:val="Textoindependiente"/>
        <w:numPr>
          <w:ilvl w:val="0"/>
          <w:numId w:val="1"/>
        </w:numPr>
        <w:rPr>
          <w:rFonts w:ascii="Helvetica" w:hAnsi="Helvetica" w:cs="Helvetica"/>
          <w:b/>
          <w:color w:val="7030A0"/>
        </w:rPr>
      </w:pPr>
      <w:r w:rsidRPr="00FE294D">
        <w:rPr>
          <w:rFonts w:ascii="Helvetica" w:hAnsi="Helvetica" w:cs="Helvetica"/>
          <w:b/>
          <w:color w:val="7030A0"/>
        </w:rPr>
        <w:t xml:space="preserve">Problema-solución </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tblPr>
      <w:tblGrid>
        <w:gridCol w:w="8493"/>
      </w:tblGrid>
      <w:tr w:rsidR="00214A71" w:rsidTr="00214A71">
        <w:trPr>
          <w:trHeight w:val="5571"/>
        </w:trPr>
        <w:tc>
          <w:tcPr>
            <w:tcW w:w="8493" w:type="dxa"/>
            <w:shd w:val="clear" w:color="auto" w:fill="E5DFEC" w:themeFill="accent4" w:themeFillTint="33"/>
          </w:tcPr>
          <w:p w:rsidR="00214A71" w:rsidRDefault="00214A71" w:rsidP="00A149E9">
            <w:pPr>
              <w:pStyle w:val="Textoindependiente"/>
              <w:spacing w:line="240" w:lineRule="auto"/>
              <w:ind w:firstLine="720"/>
              <w:rPr>
                <w:rFonts w:ascii="Helvetica" w:hAnsi="Helvetica" w:cs="Helvetica"/>
                <w:sz w:val="24"/>
                <w:szCs w:val="24"/>
              </w:rPr>
            </w:pPr>
          </w:p>
          <w:p w:rsidR="00214A71" w:rsidRPr="00214A71" w:rsidRDefault="00214A71" w:rsidP="0061273B">
            <w:pPr>
              <w:pStyle w:val="Textoindependiente"/>
              <w:spacing w:line="240" w:lineRule="auto"/>
              <w:ind w:firstLine="720"/>
              <w:rPr>
                <w:rFonts w:ascii="Helvetica" w:hAnsi="Helvetica" w:cs="Helvetica"/>
                <w:sz w:val="24"/>
                <w:szCs w:val="24"/>
              </w:rPr>
            </w:pPr>
            <w:r w:rsidRPr="00214A71">
              <w:rPr>
                <w:rFonts w:ascii="Helvetica" w:hAnsi="Helvetica" w:cs="Helvetica"/>
                <w:sz w:val="24"/>
                <w:szCs w:val="24"/>
              </w:rPr>
              <w:t xml:space="preserve">En la actualidad el tema de la piratería en internet preocupa no sólo por las implicaciones macroeconómicas que arrastra, sino también por las consideraciones éticas que de su práctica se desprenden. Si bien las empresas buscan permanentemente soluciones más efectivas para controlarla, las distintas modalidades que registra este fenómeno invocan medidas igualmente diversas. </w:t>
            </w:r>
            <w:r w:rsidRPr="00214A71">
              <w:rPr>
                <w:rFonts w:ascii="Helvetica" w:hAnsi="Helvetica" w:cs="Helvetica"/>
                <w:sz w:val="24"/>
                <w:szCs w:val="24"/>
                <w:highlight w:val="yellow"/>
              </w:rPr>
              <w:t>Uno de los problemas</w:t>
            </w:r>
            <w:r w:rsidRPr="00214A71">
              <w:rPr>
                <w:rFonts w:ascii="Helvetica" w:hAnsi="Helvetica" w:cs="Helvetica"/>
                <w:sz w:val="24"/>
                <w:szCs w:val="24"/>
              </w:rPr>
              <w:t xml:space="preserve"> es el de la criptografía, gracias a la cual sistemas electrónicos validan las identidades de quienes supuestamente han comprado una licencia de funcionamiento de un programa. </w:t>
            </w:r>
            <w:r w:rsidRPr="00214A71">
              <w:rPr>
                <w:rFonts w:ascii="Helvetica" w:hAnsi="Helvetica" w:cs="Helvetica"/>
                <w:sz w:val="24"/>
                <w:szCs w:val="24"/>
                <w:highlight w:val="yellow"/>
              </w:rPr>
              <w:t>Ante esta amenaza</w:t>
            </w:r>
            <w:r w:rsidRPr="00214A71">
              <w:rPr>
                <w:rFonts w:ascii="Helvetica" w:hAnsi="Helvetica" w:cs="Helvetica"/>
                <w:sz w:val="24"/>
                <w:szCs w:val="24"/>
              </w:rPr>
              <w:t xml:space="preserve">, las empresas han diseñado sistemas que facilitan la compra directa del producto a través de internet. Obviamente, </w:t>
            </w:r>
            <w:r w:rsidRPr="00214A71">
              <w:rPr>
                <w:rFonts w:ascii="Helvetica" w:hAnsi="Helvetica" w:cs="Helvetica"/>
                <w:sz w:val="24"/>
                <w:szCs w:val="24"/>
                <w:highlight w:val="yellow"/>
              </w:rPr>
              <w:t>dicho remedio</w:t>
            </w:r>
            <w:r w:rsidRPr="00214A71">
              <w:rPr>
                <w:rFonts w:ascii="Helvetica" w:hAnsi="Helvetica" w:cs="Helvetica"/>
                <w:sz w:val="24"/>
                <w:szCs w:val="24"/>
              </w:rPr>
              <w:t xml:space="preserve"> trae nuevas complicaciones, no sólo por la exclusión masiva que engendra a quienes carecen de dinero plástico, sino también porque incentiva la clonación de tarjetas de crédito. </w:t>
            </w:r>
            <w:r w:rsidRPr="00214A71">
              <w:rPr>
                <w:rFonts w:ascii="Helvetica" w:hAnsi="Helvetica" w:cs="Helvetica"/>
                <w:sz w:val="24"/>
                <w:szCs w:val="24"/>
                <w:highlight w:val="yellow"/>
              </w:rPr>
              <w:t>Esto ha llevado</w:t>
            </w:r>
            <w:r w:rsidRPr="00214A71">
              <w:rPr>
                <w:rFonts w:ascii="Helvetica" w:hAnsi="Helvetica" w:cs="Helvetica"/>
                <w:sz w:val="24"/>
                <w:szCs w:val="24"/>
              </w:rPr>
              <w:t xml:space="preserve"> a que las empresas creativamente promuevan tentadoras ofertas de licenciamiento de productos a muy bajos costos y todo tipo de amnistías que traen consigo la inclusión de programas y utilidades adicionales. Sin embargo, expertos en marketing afirman que por más tentadoras y creativas que sean las ofertas, de nada valdrán si el aparato educativo no arriesga acciones que ayuden a corroer la cultura del pirata que tantos émulos de Francis </w:t>
            </w:r>
            <w:proofErr w:type="spellStart"/>
            <w:r w:rsidRPr="00214A71">
              <w:rPr>
                <w:rFonts w:ascii="Helvetica" w:hAnsi="Helvetica" w:cs="Helvetica"/>
                <w:sz w:val="24"/>
                <w:szCs w:val="24"/>
              </w:rPr>
              <w:t>Drake</w:t>
            </w:r>
            <w:proofErr w:type="spellEnd"/>
            <w:r w:rsidRPr="00214A71">
              <w:rPr>
                <w:rFonts w:ascii="Helvetica" w:hAnsi="Helvetica" w:cs="Helvetica"/>
                <w:sz w:val="24"/>
                <w:szCs w:val="24"/>
              </w:rPr>
              <w:t xml:space="preserve"> despierta entre los jóvenes de hoy.  </w:t>
            </w:r>
          </w:p>
          <w:p w:rsidR="00214A71" w:rsidRDefault="00214A71" w:rsidP="00A149E9">
            <w:pPr>
              <w:pStyle w:val="Textoindependiente"/>
              <w:rPr>
                <w:rFonts w:ascii="Helvetica" w:hAnsi="Helvetica" w:cs="Helvetica"/>
                <w:color w:val="7030A0"/>
              </w:rPr>
            </w:pPr>
          </w:p>
        </w:tc>
      </w:tr>
    </w:tbl>
    <w:p w:rsidR="00214A71" w:rsidRPr="00FE294D" w:rsidRDefault="00214A71" w:rsidP="00214A71">
      <w:pPr>
        <w:pStyle w:val="Textoindependiente"/>
        <w:ind w:left="1080"/>
        <w:rPr>
          <w:rFonts w:ascii="Helvetica" w:hAnsi="Helvetica" w:cs="Helvetica"/>
          <w:color w:val="7030A0"/>
        </w:rPr>
      </w:pPr>
    </w:p>
    <w:p w:rsidR="00214A71" w:rsidRPr="0045243A" w:rsidRDefault="00214A71" w:rsidP="0061273B">
      <w:pPr>
        <w:pStyle w:val="Textoindependiente"/>
        <w:spacing w:line="240" w:lineRule="auto"/>
        <w:ind w:firstLine="720"/>
        <w:rPr>
          <w:rFonts w:ascii="Helvetica" w:hAnsi="Helvetica" w:cs="Helvetica"/>
        </w:rPr>
      </w:pPr>
      <w:r w:rsidRPr="0045243A">
        <w:rPr>
          <w:rFonts w:ascii="Helvetica" w:hAnsi="Helvetica" w:cs="Helvetica"/>
        </w:rPr>
        <w:t>Como podemos apreciar el autor plantea un problema al que trata de dar respuestas o posibles soluciones a lo largo del texto. La idea principal se organiza en dos partes: una se refiere al problema; la otra, a la solución. En otras palabras, el texto ordena la información en torno a dos categorías básicas: problema y solución, que mantienen entre sí las siguientes relaciones: a) Una relación temporal, es decir, el problema resulta anterior en el tiempo a la solución; b) Un vínculo causal, de tal forma que la solución resuelve parcial o totalmente el problema; y c) Un solapamiento, cuanto menos parcial, entre las proposiciones o ideas que expresan el problema y las que sirven para exponer la solución. En el texto también podemos descubrir conectores o marcas textuales [señaladas con amarillo] que nos indican la prese</w:t>
      </w:r>
      <w:r w:rsidR="0045243A">
        <w:rPr>
          <w:rFonts w:ascii="Helvetica" w:hAnsi="Helvetica" w:cs="Helvetica"/>
        </w:rPr>
        <w:t>ncia de este tipo de estructura.</w:t>
      </w:r>
      <w:r w:rsidRPr="0045243A">
        <w:rPr>
          <w:rFonts w:ascii="Helvetica" w:hAnsi="Helvetica" w:cs="Helvetica"/>
        </w:rPr>
        <w:t xml:space="preserve"> </w:t>
      </w:r>
    </w:p>
    <w:p w:rsidR="00214A71" w:rsidRDefault="00214A71" w:rsidP="00214A71">
      <w:pPr>
        <w:pStyle w:val="Textoindependiente"/>
        <w:ind w:firstLine="720"/>
        <w:rPr>
          <w:rFonts w:ascii="Helvetica" w:hAnsi="Helvetica" w:cs="Helvetica"/>
          <w:color w:val="555555"/>
        </w:rPr>
      </w:pPr>
    </w:p>
    <w:p w:rsidR="0061273B" w:rsidRPr="00FE294D" w:rsidRDefault="0061273B" w:rsidP="00214A71">
      <w:pPr>
        <w:pStyle w:val="Textoindependiente"/>
        <w:ind w:firstLine="720"/>
        <w:rPr>
          <w:rFonts w:ascii="Helvetica" w:hAnsi="Helvetica" w:cs="Helvetica"/>
          <w:color w:val="555555"/>
        </w:rPr>
      </w:pPr>
    </w:p>
    <w:p w:rsidR="0061273B" w:rsidRPr="0061273B" w:rsidRDefault="0061273B" w:rsidP="0061273B">
      <w:pPr>
        <w:pStyle w:val="Textoindependiente"/>
        <w:numPr>
          <w:ilvl w:val="0"/>
          <w:numId w:val="1"/>
        </w:numPr>
        <w:rPr>
          <w:rFonts w:ascii="Helvetica" w:hAnsi="Helvetica" w:cs="Helvetica"/>
          <w:b/>
          <w:color w:val="7030A0"/>
        </w:rPr>
      </w:pPr>
      <w:r w:rsidRPr="0061273B">
        <w:rPr>
          <w:rFonts w:ascii="Helvetica" w:hAnsi="Helvetica" w:cs="Helvetica"/>
          <w:b/>
          <w:color w:val="7030A0"/>
        </w:rPr>
        <w:t>Causa-consecuencia</w:t>
      </w:r>
    </w:p>
    <w:p w:rsidR="0061273B" w:rsidRDefault="0061273B" w:rsidP="0061273B">
      <w:pPr>
        <w:ind w:left="708"/>
        <w:jc w:val="both"/>
        <w:rPr>
          <w:sz w:val="22"/>
          <w:szCs w:val="22"/>
        </w:rPr>
      </w:pPr>
    </w:p>
    <w:tbl>
      <w:tblPr>
        <w:tblStyle w:val="Tablaconcuadrcula"/>
        <w:tblW w:w="0" w:type="auto"/>
        <w:tblInd w:w="108" w:type="dxa"/>
        <w:tblLook w:val="04A0"/>
      </w:tblPr>
      <w:tblGrid>
        <w:gridCol w:w="8514"/>
      </w:tblGrid>
      <w:tr w:rsidR="0061273B" w:rsidTr="0061273B">
        <w:trPr>
          <w:trHeight w:val="1089"/>
        </w:trPr>
        <w:tc>
          <w:tcPr>
            <w:tcW w:w="8514" w:type="dxa"/>
            <w:tcBorders>
              <w:top w:val="nil"/>
              <w:left w:val="nil"/>
              <w:bottom w:val="nil"/>
              <w:right w:val="nil"/>
            </w:tcBorders>
            <w:shd w:val="clear" w:color="auto" w:fill="E5DFEC" w:themeFill="accent4" w:themeFillTint="33"/>
          </w:tcPr>
          <w:p w:rsidR="005A3BFB" w:rsidRDefault="005A3BFB" w:rsidP="0061273B">
            <w:pPr>
              <w:ind w:firstLine="601"/>
              <w:jc w:val="both"/>
              <w:rPr>
                <w:rFonts w:ascii="Helvetica" w:hAnsi="Helvetica" w:cs="Helvetica"/>
                <w:sz w:val="24"/>
                <w:szCs w:val="24"/>
                <w:lang w:val="es-ES" w:eastAsia="es-ES"/>
              </w:rPr>
            </w:pPr>
          </w:p>
          <w:p w:rsidR="0061273B" w:rsidRPr="0061273B" w:rsidRDefault="0061273B" w:rsidP="0061273B">
            <w:pPr>
              <w:ind w:firstLine="601"/>
              <w:jc w:val="both"/>
              <w:rPr>
                <w:rFonts w:ascii="Helvetica" w:hAnsi="Helvetica" w:cs="Helvetica"/>
                <w:sz w:val="24"/>
                <w:szCs w:val="24"/>
                <w:lang w:val="es-ES" w:eastAsia="es-ES"/>
              </w:rPr>
            </w:pPr>
            <w:r w:rsidRPr="0061273B">
              <w:rPr>
                <w:rFonts w:ascii="Helvetica" w:hAnsi="Helvetica" w:cs="Helvetica"/>
                <w:sz w:val="24"/>
                <w:szCs w:val="24"/>
                <w:lang w:val="es-ES" w:eastAsia="es-ES"/>
              </w:rPr>
              <w:t xml:space="preserve">La portabilidad es una de las condiciones más importantes que deben reunir los archivos que circulan por internet. Esto le ha supuesto a la industria informática la creación de formatos cada vez más livianos que se puedan </w:t>
            </w:r>
            <w:r w:rsidRPr="0061273B">
              <w:rPr>
                <w:rFonts w:ascii="Helvetica" w:hAnsi="Helvetica" w:cs="Helvetica"/>
                <w:sz w:val="24"/>
                <w:szCs w:val="24"/>
                <w:lang w:val="es-ES" w:eastAsia="es-ES"/>
              </w:rPr>
              <w:lastRenderedPageBreak/>
              <w:t xml:space="preserve">cargar en el menor tiempo posible una vez que el usuario acceda a un sitio de la red. </w:t>
            </w:r>
            <w:r w:rsidRPr="0061273B">
              <w:rPr>
                <w:rFonts w:ascii="Helvetica" w:hAnsi="Helvetica" w:cs="Helvetica"/>
                <w:sz w:val="24"/>
                <w:szCs w:val="24"/>
                <w:highlight w:val="yellow"/>
                <w:lang w:val="es-ES" w:eastAsia="es-ES"/>
              </w:rPr>
              <w:t>De ahí que</w:t>
            </w:r>
            <w:r w:rsidRPr="0061273B">
              <w:rPr>
                <w:rFonts w:ascii="Helvetica" w:hAnsi="Helvetica" w:cs="Helvetica"/>
                <w:sz w:val="24"/>
                <w:szCs w:val="24"/>
                <w:lang w:val="es-ES" w:eastAsia="es-ES"/>
              </w:rPr>
              <w:t xml:space="preserve"> a la hora de diseñar páginas</w:t>
            </w:r>
            <w:r w:rsidRPr="0061273B">
              <w:rPr>
                <w:rFonts w:ascii="Helvetica" w:hAnsi="Helvetica" w:cs="Helvetica"/>
                <w:i/>
                <w:sz w:val="24"/>
                <w:szCs w:val="24"/>
                <w:lang w:val="es-ES" w:eastAsia="es-ES"/>
              </w:rPr>
              <w:t xml:space="preserve"> web</w:t>
            </w:r>
            <w:r w:rsidRPr="0061273B">
              <w:rPr>
                <w:rFonts w:ascii="Helvetica" w:hAnsi="Helvetica" w:cs="Helvetica"/>
                <w:sz w:val="24"/>
                <w:szCs w:val="24"/>
                <w:lang w:val="es-ES" w:eastAsia="es-ES"/>
              </w:rPr>
              <w:t xml:space="preserve"> se proceda a la conversión de la información a pequeños archivos </w:t>
            </w:r>
            <w:proofErr w:type="spellStart"/>
            <w:r w:rsidRPr="0061273B">
              <w:rPr>
                <w:rFonts w:ascii="Helvetica" w:hAnsi="Helvetica" w:cs="Helvetica"/>
                <w:sz w:val="24"/>
                <w:szCs w:val="24"/>
                <w:lang w:val="es-ES" w:eastAsia="es-ES"/>
              </w:rPr>
              <w:t>multimediales</w:t>
            </w:r>
            <w:proofErr w:type="spellEnd"/>
            <w:r w:rsidRPr="0061273B">
              <w:rPr>
                <w:rFonts w:ascii="Helvetica" w:hAnsi="Helvetica" w:cs="Helvetica"/>
                <w:sz w:val="24"/>
                <w:szCs w:val="24"/>
                <w:lang w:val="es-ES" w:eastAsia="es-ES"/>
              </w:rPr>
              <w:t xml:space="preserve"> del tipo </w:t>
            </w:r>
            <w:proofErr w:type="spellStart"/>
            <w:r w:rsidRPr="0061273B">
              <w:rPr>
                <w:rFonts w:ascii="Helvetica" w:hAnsi="Helvetica" w:cs="Helvetica"/>
                <w:i/>
                <w:sz w:val="24"/>
                <w:szCs w:val="24"/>
                <w:lang w:val="es-ES" w:eastAsia="es-ES"/>
              </w:rPr>
              <w:t>gif</w:t>
            </w:r>
            <w:proofErr w:type="spellEnd"/>
            <w:r w:rsidRPr="0061273B">
              <w:rPr>
                <w:rFonts w:ascii="Helvetica" w:hAnsi="Helvetica" w:cs="Helvetica"/>
                <w:sz w:val="24"/>
                <w:szCs w:val="24"/>
                <w:lang w:val="es-ES" w:eastAsia="es-ES"/>
              </w:rPr>
              <w:t xml:space="preserve"> y </w:t>
            </w:r>
            <w:proofErr w:type="spellStart"/>
            <w:r w:rsidRPr="0061273B">
              <w:rPr>
                <w:rFonts w:ascii="Helvetica" w:hAnsi="Helvetica" w:cs="Helvetica"/>
                <w:i/>
                <w:sz w:val="24"/>
                <w:szCs w:val="24"/>
                <w:lang w:val="es-ES" w:eastAsia="es-ES"/>
              </w:rPr>
              <w:t>jpg</w:t>
            </w:r>
            <w:proofErr w:type="spellEnd"/>
            <w:r w:rsidRPr="0061273B">
              <w:rPr>
                <w:rFonts w:ascii="Helvetica" w:hAnsi="Helvetica" w:cs="Helvetica"/>
                <w:sz w:val="24"/>
                <w:szCs w:val="24"/>
                <w:lang w:val="es-ES" w:eastAsia="es-ES"/>
              </w:rPr>
              <w:t xml:space="preserve"> en imagen, mp3 y </w:t>
            </w:r>
            <w:proofErr w:type="spellStart"/>
            <w:r w:rsidRPr="0061273B">
              <w:rPr>
                <w:rFonts w:ascii="Helvetica" w:hAnsi="Helvetica" w:cs="Helvetica"/>
                <w:sz w:val="24"/>
                <w:szCs w:val="24"/>
                <w:lang w:val="es-ES" w:eastAsia="es-ES"/>
              </w:rPr>
              <w:t>midi</w:t>
            </w:r>
            <w:proofErr w:type="spellEnd"/>
            <w:r w:rsidRPr="0061273B">
              <w:rPr>
                <w:rFonts w:ascii="Helvetica" w:hAnsi="Helvetica" w:cs="Helvetica"/>
                <w:sz w:val="24"/>
                <w:szCs w:val="24"/>
                <w:lang w:val="es-ES" w:eastAsia="es-ES"/>
              </w:rPr>
              <w:t xml:space="preserve"> en sonido, o </w:t>
            </w:r>
            <w:proofErr w:type="spellStart"/>
            <w:r w:rsidRPr="0061273B">
              <w:rPr>
                <w:rFonts w:ascii="Helvetica" w:hAnsi="Helvetica" w:cs="Helvetica"/>
                <w:sz w:val="24"/>
                <w:szCs w:val="24"/>
                <w:lang w:val="es-ES" w:eastAsia="es-ES"/>
              </w:rPr>
              <w:t>avi</w:t>
            </w:r>
            <w:proofErr w:type="spellEnd"/>
            <w:r w:rsidRPr="0061273B">
              <w:rPr>
                <w:rFonts w:ascii="Helvetica" w:hAnsi="Helvetica" w:cs="Helvetica"/>
                <w:sz w:val="24"/>
                <w:szCs w:val="24"/>
                <w:lang w:val="es-ES" w:eastAsia="es-ES"/>
              </w:rPr>
              <w:t xml:space="preserve"> y </w:t>
            </w:r>
            <w:proofErr w:type="spellStart"/>
            <w:r w:rsidRPr="0061273B">
              <w:rPr>
                <w:rFonts w:ascii="Helvetica" w:hAnsi="Helvetica" w:cs="Helvetica"/>
                <w:sz w:val="24"/>
                <w:szCs w:val="24"/>
                <w:lang w:val="es-ES" w:eastAsia="es-ES"/>
              </w:rPr>
              <w:t>mjpeg</w:t>
            </w:r>
            <w:proofErr w:type="spellEnd"/>
            <w:r w:rsidRPr="0061273B">
              <w:rPr>
                <w:rFonts w:ascii="Helvetica" w:hAnsi="Helvetica" w:cs="Helvetica"/>
                <w:sz w:val="24"/>
                <w:szCs w:val="24"/>
                <w:lang w:val="es-ES" w:eastAsia="es-ES"/>
              </w:rPr>
              <w:t xml:space="preserve"> en imagen. </w:t>
            </w:r>
          </w:p>
          <w:p w:rsidR="0061273B" w:rsidRDefault="0061273B" w:rsidP="0061273B">
            <w:pPr>
              <w:jc w:val="both"/>
            </w:pPr>
          </w:p>
        </w:tc>
      </w:tr>
    </w:tbl>
    <w:p w:rsidR="0061273B" w:rsidRPr="007D3595" w:rsidRDefault="0061273B" w:rsidP="0061273B">
      <w:pPr>
        <w:pStyle w:val="Textoindependiente"/>
        <w:ind w:firstLine="720"/>
        <w:rPr>
          <w:lang w:val="es-CO"/>
        </w:rPr>
      </w:pPr>
    </w:p>
    <w:p w:rsidR="0061273B" w:rsidRPr="0061273B" w:rsidRDefault="0061273B" w:rsidP="0061273B">
      <w:pPr>
        <w:pStyle w:val="Textoindependiente"/>
        <w:spacing w:line="240" w:lineRule="auto"/>
        <w:ind w:firstLine="720"/>
        <w:rPr>
          <w:rFonts w:ascii="Helvetica" w:hAnsi="Helvetica" w:cs="Helvetica"/>
        </w:rPr>
      </w:pPr>
      <w:r w:rsidRPr="0061273B">
        <w:rPr>
          <w:rFonts w:ascii="Helvetica" w:hAnsi="Helvetica" w:cs="Helvetica"/>
        </w:rPr>
        <w:t>En este texto el autor plantea un hecho o fenómeno [la portabilidad] del cual analiza sus causas u orígenes. Presenta una relación de causalidad en torno a dos categorías: antecedente y consecuente; dicho en otros términos, existen entre ellas: a) una relación temporal: los antecedentes preceden a los consecuentes; y b) unos vínculos causales: los antecedentes facilitan o son una condición necesaria y suficiente para que aparezcan los consecuentes. También la presencia de estas relaciones se identifica con conectores discursivo-textuales como “de ahí que…”.</w:t>
      </w:r>
    </w:p>
    <w:p w:rsidR="0061273B" w:rsidRPr="00741482" w:rsidRDefault="0061273B" w:rsidP="0061273B">
      <w:pPr>
        <w:pStyle w:val="Textoindependiente"/>
        <w:spacing w:line="240" w:lineRule="auto"/>
        <w:ind w:firstLine="720"/>
      </w:pPr>
    </w:p>
    <w:p w:rsidR="0061273B" w:rsidRPr="009E437C" w:rsidRDefault="0061273B" w:rsidP="0061273B">
      <w:pPr>
        <w:pStyle w:val="Textoindependiente"/>
        <w:ind w:firstLine="720"/>
      </w:pPr>
    </w:p>
    <w:p w:rsidR="00C045AF" w:rsidRDefault="00C045AF" w:rsidP="005A3BFB">
      <w:pPr>
        <w:pStyle w:val="Textoindependiente"/>
        <w:numPr>
          <w:ilvl w:val="0"/>
          <w:numId w:val="1"/>
        </w:numPr>
        <w:tabs>
          <w:tab w:val="left" w:pos="709"/>
        </w:tabs>
        <w:rPr>
          <w:rFonts w:ascii="Helvetica" w:hAnsi="Helvetica" w:cs="Helvetica"/>
          <w:b/>
          <w:color w:val="7030A0"/>
        </w:rPr>
      </w:pPr>
      <w:r w:rsidRPr="00C045AF">
        <w:rPr>
          <w:rFonts w:ascii="Helvetica" w:hAnsi="Helvetica" w:cs="Helvetica"/>
          <w:b/>
          <w:color w:val="7030A0"/>
        </w:rPr>
        <w:t>Comparación/contraste</w:t>
      </w:r>
    </w:p>
    <w:p w:rsidR="005A3BFB" w:rsidRPr="00C045AF" w:rsidRDefault="005A3BFB" w:rsidP="005A3BFB">
      <w:pPr>
        <w:pStyle w:val="Textoindependiente"/>
        <w:tabs>
          <w:tab w:val="left" w:pos="709"/>
        </w:tabs>
        <w:spacing w:line="240" w:lineRule="auto"/>
        <w:ind w:left="1077"/>
        <w:rPr>
          <w:rFonts w:ascii="Helvetica" w:hAnsi="Helvetica" w:cs="Helvetica"/>
          <w:b/>
          <w:color w:val="7030A0"/>
        </w:rPr>
      </w:pPr>
    </w:p>
    <w:tbl>
      <w:tblPr>
        <w:tblStyle w:val="Tablaconcuadrcula"/>
        <w:tblW w:w="0" w:type="auto"/>
        <w:tblLook w:val="04A0"/>
      </w:tblPr>
      <w:tblGrid>
        <w:gridCol w:w="8644"/>
      </w:tblGrid>
      <w:tr w:rsidR="00EF4717" w:rsidTr="00754534">
        <w:tc>
          <w:tcPr>
            <w:tcW w:w="8644" w:type="dxa"/>
            <w:tcBorders>
              <w:top w:val="nil"/>
              <w:left w:val="nil"/>
              <w:bottom w:val="nil"/>
              <w:right w:val="nil"/>
            </w:tcBorders>
            <w:shd w:val="clear" w:color="auto" w:fill="auto"/>
          </w:tcPr>
          <w:p w:rsidR="005A3BFB" w:rsidRDefault="005A3BFB" w:rsidP="00EF4717">
            <w:pPr>
              <w:ind w:firstLine="709"/>
              <w:jc w:val="both"/>
              <w:rPr>
                <w:rFonts w:ascii="Helvetica" w:hAnsi="Helvetica" w:cs="Helvetica"/>
                <w:sz w:val="24"/>
                <w:szCs w:val="24"/>
                <w:lang w:val="es-ES" w:eastAsia="es-ES"/>
              </w:rPr>
            </w:pPr>
          </w:p>
          <w:p w:rsidR="00EF4717" w:rsidRPr="00EF4717" w:rsidRDefault="00EF4717" w:rsidP="00EF4717">
            <w:pPr>
              <w:ind w:firstLine="709"/>
              <w:jc w:val="both"/>
              <w:rPr>
                <w:rFonts w:ascii="Helvetica" w:hAnsi="Helvetica" w:cs="Helvetica"/>
                <w:sz w:val="24"/>
                <w:szCs w:val="24"/>
                <w:lang w:val="es-ES" w:eastAsia="es-ES"/>
              </w:rPr>
            </w:pPr>
            <w:r w:rsidRPr="00EF4717">
              <w:rPr>
                <w:rFonts w:ascii="Helvetica" w:hAnsi="Helvetica" w:cs="Helvetica"/>
                <w:sz w:val="24"/>
                <w:szCs w:val="24"/>
                <w:lang w:val="es-ES" w:eastAsia="es-ES"/>
              </w:rPr>
              <w:t xml:space="preserve">La historia de los arreglos vocales en la música andina colombiana registra dos fenómenos antitéticos: el de voces por terceras paralelas y el de voces por intervalos abiertos. </w:t>
            </w:r>
            <w:r w:rsidRPr="00EF4717">
              <w:rPr>
                <w:rFonts w:ascii="Helvetica" w:hAnsi="Helvetica" w:cs="Helvetica"/>
                <w:sz w:val="24"/>
                <w:szCs w:val="24"/>
                <w:highlight w:val="yellow"/>
                <w:lang w:val="es-ES" w:eastAsia="es-ES"/>
              </w:rPr>
              <w:t>El primero</w:t>
            </w:r>
            <w:r w:rsidRPr="00EF4717">
              <w:rPr>
                <w:rFonts w:ascii="Helvetica" w:hAnsi="Helvetica" w:cs="Helvetica"/>
                <w:sz w:val="24"/>
                <w:szCs w:val="24"/>
                <w:lang w:val="es-ES" w:eastAsia="es-ES"/>
              </w:rPr>
              <w:t xml:space="preserve">, que nos recuerda las propuestas de los duetos más tradicionales (como Garzón y Collazos o Silva y </w:t>
            </w:r>
            <w:proofErr w:type="spellStart"/>
            <w:r w:rsidRPr="00EF4717">
              <w:rPr>
                <w:rFonts w:ascii="Helvetica" w:hAnsi="Helvetica" w:cs="Helvetica"/>
                <w:sz w:val="24"/>
                <w:szCs w:val="24"/>
                <w:lang w:val="es-ES" w:eastAsia="es-ES"/>
              </w:rPr>
              <w:t>Villalba</w:t>
            </w:r>
            <w:proofErr w:type="spellEnd"/>
            <w:r w:rsidRPr="00EF4717">
              <w:rPr>
                <w:rFonts w:ascii="Helvetica" w:hAnsi="Helvetica" w:cs="Helvetica"/>
                <w:sz w:val="24"/>
                <w:szCs w:val="24"/>
                <w:lang w:val="es-ES" w:eastAsia="es-ES"/>
              </w:rPr>
              <w:t xml:space="preserve">), se caracteriza por una segunda voz enteramente mimética que sigue el comportamiento melódico de la principal, sólo separada por intervalos de tercera; su efecto puede describirse como el de una segunda voz sumisa que persigue por el pentagrama a la primera. </w:t>
            </w:r>
            <w:r w:rsidRPr="00EF4717">
              <w:rPr>
                <w:rFonts w:ascii="Helvetica" w:hAnsi="Helvetica" w:cs="Helvetica"/>
                <w:sz w:val="24"/>
                <w:szCs w:val="24"/>
                <w:highlight w:val="yellow"/>
                <w:lang w:val="es-ES" w:eastAsia="es-ES"/>
              </w:rPr>
              <w:t>En cambio</w:t>
            </w:r>
            <w:r w:rsidRPr="00EF4717">
              <w:rPr>
                <w:rFonts w:ascii="Helvetica" w:hAnsi="Helvetica" w:cs="Helvetica"/>
                <w:sz w:val="24"/>
                <w:szCs w:val="24"/>
                <w:lang w:val="es-ES" w:eastAsia="es-ES"/>
              </w:rPr>
              <w:t xml:space="preserve">, </w:t>
            </w:r>
            <w:r w:rsidRPr="00EF4717">
              <w:rPr>
                <w:rFonts w:ascii="Helvetica" w:hAnsi="Helvetica" w:cs="Helvetica"/>
                <w:sz w:val="24"/>
                <w:szCs w:val="24"/>
                <w:highlight w:val="yellow"/>
                <w:lang w:val="es-ES" w:eastAsia="es-ES"/>
              </w:rPr>
              <w:t>el otro modelo</w:t>
            </w:r>
            <w:r w:rsidRPr="00EF4717">
              <w:rPr>
                <w:rFonts w:ascii="Helvetica" w:hAnsi="Helvetica" w:cs="Helvetica"/>
                <w:sz w:val="24"/>
                <w:szCs w:val="24"/>
                <w:lang w:val="es-ES" w:eastAsia="es-ES"/>
              </w:rPr>
              <w:t xml:space="preserve">, propio de duetos más recientes (como Nueva Gente, Lluvia y Rocío o Diana y Fabián), propone una segunda voz regida por movimientos independientes de los descritos por la melodía, esta vez en intervalos distintos, de acuerdo con los acordes del arreglo instrumental. En este caso, el efecto conseguido es el de una segunda voz emancipada e impredecible que se acerca o se aleja caprichosamente de la primera, de acuerdo con el timbre y tesitura de los intérpretes.          </w:t>
            </w:r>
          </w:p>
          <w:p w:rsidR="00EF4717" w:rsidRDefault="00EF4717" w:rsidP="00C045AF">
            <w:pPr>
              <w:pStyle w:val="Textoindependiente"/>
              <w:spacing w:line="240" w:lineRule="auto"/>
            </w:pPr>
          </w:p>
        </w:tc>
      </w:tr>
    </w:tbl>
    <w:p w:rsidR="00C045AF" w:rsidRPr="009E437C" w:rsidRDefault="00C045AF" w:rsidP="00C045AF">
      <w:pPr>
        <w:pStyle w:val="Textoindependiente"/>
        <w:spacing w:line="240" w:lineRule="auto"/>
        <w:ind w:firstLine="720"/>
      </w:pPr>
    </w:p>
    <w:p w:rsidR="00C045AF" w:rsidRPr="00EF4717" w:rsidRDefault="00C045AF" w:rsidP="00EF4717">
      <w:pPr>
        <w:pStyle w:val="Textoindependiente"/>
        <w:spacing w:line="240" w:lineRule="auto"/>
        <w:ind w:firstLine="720"/>
        <w:rPr>
          <w:rFonts w:ascii="Helvetica" w:hAnsi="Helvetica" w:cs="Helvetica"/>
        </w:rPr>
      </w:pPr>
    </w:p>
    <w:p w:rsidR="00C045AF" w:rsidRPr="00EF4717" w:rsidRDefault="00C045AF" w:rsidP="00EF4717">
      <w:pPr>
        <w:pStyle w:val="Textoindependiente"/>
        <w:spacing w:line="240" w:lineRule="auto"/>
        <w:ind w:firstLine="720"/>
        <w:rPr>
          <w:rFonts w:ascii="Helvetica" w:hAnsi="Helvetica" w:cs="Helvetica"/>
        </w:rPr>
      </w:pPr>
      <w:r w:rsidRPr="00EF4717">
        <w:rPr>
          <w:rFonts w:ascii="Helvetica" w:hAnsi="Helvetica" w:cs="Helvetica"/>
        </w:rPr>
        <w:t xml:space="preserve">La estructura de este texto contrapone fenómenos antitéticos relacionados con los arreglos vocales entre sí, a partir de los cuales se notan sus diferencias y semejanzas. Presenta en la comparación la variante alternativa: los fenómenos poseen el mismo peso o valor ya que el objetivo principal es examinar las relaciones entre los tipos de arreglos vocales. El texto establece más que una comparación, un contraste porque, como sabemos, la comparación se da al analizar tanto las semejanzas como las diferencias, mientras que el contraste únicamente se centra en estas últimas. Sin embargo, conviene recordar que esta estructura puede gozar de variedad de componentes organizativos, según la cantidad de diferencias y similitudes que incluya el autor. Algunos de los organizadores textuales que indican este tipo de distribución son: “El primero”, “en cambio, el otro modelo” </w:t>
      </w:r>
    </w:p>
    <w:p w:rsidR="00C754CF" w:rsidRPr="00C754CF" w:rsidRDefault="00C754CF" w:rsidP="00C754CF">
      <w:pPr>
        <w:pStyle w:val="Textoindependiente"/>
        <w:tabs>
          <w:tab w:val="left" w:pos="709"/>
        </w:tabs>
        <w:ind w:left="1080" w:hanging="371"/>
        <w:rPr>
          <w:rFonts w:ascii="Helvetica" w:hAnsi="Helvetica" w:cs="Helvetica"/>
          <w:b/>
          <w:color w:val="7030A0"/>
        </w:rPr>
      </w:pPr>
      <w:r w:rsidRPr="00C754CF">
        <w:rPr>
          <w:rFonts w:ascii="Helvetica" w:hAnsi="Helvetica" w:cs="Helvetica"/>
          <w:b/>
          <w:color w:val="7030A0"/>
        </w:rPr>
        <w:lastRenderedPageBreak/>
        <w:t>4. Secuencia</w:t>
      </w:r>
    </w:p>
    <w:p w:rsidR="00C754CF" w:rsidRDefault="00C754CF" w:rsidP="00756371">
      <w:pPr>
        <w:pStyle w:val="Textoindependiente"/>
        <w:spacing w:line="240" w:lineRule="auto"/>
        <w:ind w:firstLine="720"/>
        <w:rPr>
          <w:rFonts w:ascii="Helvetica" w:hAnsi="Helvetica" w:cs="Helvetica"/>
          <w:color w:val="555555"/>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C754CF" w:rsidTr="00C754CF">
        <w:tc>
          <w:tcPr>
            <w:tcW w:w="8644" w:type="dxa"/>
            <w:shd w:val="clear" w:color="auto" w:fill="E5DFEC" w:themeFill="accent4" w:themeFillTint="33"/>
          </w:tcPr>
          <w:p w:rsidR="005A3BFB" w:rsidRDefault="005A3BFB" w:rsidP="00C754CF">
            <w:pPr>
              <w:ind w:firstLine="709"/>
              <w:jc w:val="both"/>
              <w:rPr>
                <w:rFonts w:ascii="Helvetica" w:hAnsi="Helvetica" w:cs="Helvetica"/>
                <w:sz w:val="24"/>
                <w:szCs w:val="24"/>
                <w:lang w:val="es-ES" w:eastAsia="es-ES"/>
              </w:rPr>
            </w:pPr>
          </w:p>
          <w:p w:rsidR="00C754CF" w:rsidRPr="00C754CF" w:rsidRDefault="00C754CF" w:rsidP="00C754CF">
            <w:pPr>
              <w:ind w:firstLine="709"/>
              <w:jc w:val="both"/>
              <w:rPr>
                <w:rFonts w:ascii="Helvetica" w:hAnsi="Helvetica" w:cs="Helvetica"/>
                <w:sz w:val="24"/>
                <w:szCs w:val="24"/>
                <w:lang w:val="es-ES" w:eastAsia="es-ES"/>
              </w:rPr>
            </w:pPr>
            <w:r w:rsidRPr="00C754CF">
              <w:rPr>
                <w:rFonts w:ascii="Helvetica" w:hAnsi="Helvetica" w:cs="Helvetica"/>
                <w:sz w:val="24"/>
                <w:szCs w:val="24"/>
                <w:lang w:val="es-ES" w:eastAsia="es-ES"/>
              </w:rPr>
              <w:t xml:space="preserve">El proceso de producción del material sonoro de una lengua se realiza por medio de tres mecanismos </w:t>
            </w:r>
            <w:proofErr w:type="spellStart"/>
            <w:r w:rsidRPr="00C754CF">
              <w:rPr>
                <w:rFonts w:ascii="Helvetica" w:hAnsi="Helvetica" w:cs="Helvetica"/>
                <w:sz w:val="24"/>
                <w:szCs w:val="24"/>
                <w:lang w:val="es-ES" w:eastAsia="es-ES"/>
              </w:rPr>
              <w:t>biofisiológicos</w:t>
            </w:r>
            <w:proofErr w:type="spellEnd"/>
            <w:r w:rsidRPr="00C754CF">
              <w:rPr>
                <w:rFonts w:ascii="Helvetica" w:hAnsi="Helvetica" w:cs="Helvetica"/>
                <w:sz w:val="24"/>
                <w:szCs w:val="24"/>
                <w:lang w:val="es-ES" w:eastAsia="es-ES"/>
              </w:rPr>
              <w:t xml:space="preserve"> consecutivos: respiración, fonación y articulación. </w:t>
            </w:r>
            <w:r w:rsidRPr="00756371">
              <w:rPr>
                <w:rFonts w:ascii="Helvetica" w:hAnsi="Helvetica" w:cs="Helvetica"/>
                <w:sz w:val="24"/>
                <w:szCs w:val="24"/>
                <w:highlight w:val="yellow"/>
                <w:lang w:val="es-ES" w:eastAsia="es-ES"/>
              </w:rPr>
              <w:t>El primero</w:t>
            </w:r>
            <w:r w:rsidRPr="00C754CF">
              <w:rPr>
                <w:rFonts w:ascii="Helvetica" w:hAnsi="Helvetica" w:cs="Helvetica"/>
                <w:sz w:val="24"/>
                <w:szCs w:val="24"/>
                <w:lang w:val="es-ES" w:eastAsia="es-ES"/>
              </w:rPr>
              <w:t xml:space="preserve"> provee al sonido de su materia prima indispensable: el aire espirado. En esta fase intervienen todos los órganos del aparato respiratorio (fosas nasales, laringe, tráquea, bronquios, bronquiolos y pulmones). </w:t>
            </w:r>
            <w:r w:rsidRPr="00756371">
              <w:rPr>
                <w:rFonts w:ascii="Helvetica" w:hAnsi="Helvetica" w:cs="Helvetica"/>
                <w:sz w:val="24"/>
                <w:szCs w:val="24"/>
                <w:highlight w:val="yellow"/>
                <w:lang w:val="es-ES" w:eastAsia="es-ES"/>
              </w:rPr>
              <w:t>La segunda etapa</w:t>
            </w:r>
            <w:r w:rsidRPr="00C754CF">
              <w:rPr>
                <w:rFonts w:ascii="Helvetica" w:hAnsi="Helvetica" w:cs="Helvetica"/>
                <w:sz w:val="24"/>
                <w:szCs w:val="24"/>
                <w:lang w:val="es-ES" w:eastAsia="es-ES"/>
              </w:rPr>
              <w:t xml:space="preserve"> del proceso –fonación– se origina cuando el aire atraviesa la laringe. Allí la compleja interacción que se produce por la vibración de cuerdas vocales y la abertura que dejan entre sí (glotis) provoca un sonido primitivo. Este, </w:t>
            </w:r>
            <w:r w:rsidRPr="00756371">
              <w:rPr>
                <w:rFonts w:ascii="Helvetica" w:hAnsi="Helvetica" w:cs="Helvetica"/>
                <w:sz w:val="24"/>
                <w:szCs w:val="24"/>
                <w:highlight w:val="yellow"/>
                <w:lang w:val="es-ES" w:eastAsia="es-ES"/>
              </w:rPr>
              <w:t>finalmente</w:t>
            </w:r>
            <w:r w:rsidRPr="00C754CF">
              <w:rPr>
                <w:rFonts w:ascii="Helvetica" w:hAnsi="Helvetica" w:cs="Helvetica"/>
                <w:sz w:val="24"/>
                <w:szCs w:val="24"/>
                <w:lang w:val="es-ES" w:eastAsia="es-ES"/>
              </w:rPr>
              <w:t>, en la cavidad buco-</w:t>
            </w:r>
            <w:r w:rsidR="00756371" w:rsidRPr="00C754CF">
              <w:rPr>
                <w:rFonts w:ascii="Helvetica" w:hAnsi="Helvetica" w:cs="Helvetica"/>
                <w:sz w:val="24"/>
                <w:szCs w:val="24"/>
                <w:lang w:val="es-ES" w:eastAsia="es-ES"/>
              </w:rPr>
              <w:t>faríngeo</w:t>
            </w:r>
            <w:r w:rsidRPr="00C754CF">
              <w:rPr>
                <w:rFonts w:ascii="Helvetica" w:hAnsi="Helvetica" w:cs="Helvetica"/>
                <w:sz w:val="24"/>
                <w:szCs w:val="24"/>
                <w:lang w:val="es-ES" w:eastAsia="es-ES"/>
              </w:rPr>
              <w:t xml:space="preserve">-nasal, refinará sus características por el contacto con puntos y fijos móviles, en lo que se conoce como articulación. </w:t>
            </w:r>
          </w:p>
          <w:p w:rsidR="00C754CF" w:rsidRPr="00C754CF" w:rsidRDefault="00C754CF" w:rsidP="00C754CF">
            <w:pPr>
              <w:pStyle w:val="Textoindependiente"/>
              <w:rPr>
                <w:lang w:val="es-CO"/>
              </w:rPr>
            </w:pPr>
          </w:p>
        </w:tc>
      </w:tr>
    </w:tbl>
    <w:p w:rsidR="00C754CF" w:rsidRPr="009E437C" w:rsidRDefault="00C754CF" w:rsidP="00C754CF">
      <w:pPr>
        <w:tabs>
          <w:tab w:val="left" w:pos="1650"/>
        </w:tabs>
        <w:spacing w:line="360" w:lineRule="auto"/>
        <w:jc w:val="both"/>
      </w:pPr>
    </w:p>
    <w:p w:rsidR="00C754CF" w:rsidRPr="00C754CF" w:rsidRDefault="00C754CF" w:rsidP="00C754CF">
      <w:pPr>
        <w:tabs>
          <w:tab w:val="left" w:pos="1650"/>
        </w:tabs>
        <w:ind w:firstLine="720"/>
        <w:jc w:val="both"/>
        <w:rPr>
          <w:rFonts w:ascii="Helvetica" w:hAnsi="Helvetica" w:cs="Helvetica"/>
          <w:lang w:val="es-ES" w:eastAsia="es-ES"/>
        </w:rPr>
      </w:pPr>
      <w:r w:rsidRPr="00C754CF">
        <w:rPr>
          <w:rFonts w:ascii="Helvetica" w:hAnsi="Helvetica" w:cs="Helvetica"/>
          <w:lang w:val="es-ES" w:eastAsia="es-ES"/>
        </w:rPr>
        <w:t>Esta forma organizativa muestra cómo el texto relaciona los acontecimientos con base en un rasgo común: “el proceso de producción del material sonoro de una lengua”</w:t>
      </w:r>
      <w:r w:rsidR="00756371">
        <w:rPr>
          <w:rFonts w:ascii="Helvetica" w:hAnsi="Helvetica" w:cs="Helvetica"/>
          <w:lang w:val="es-ES" w:eastAsia="es-ES"/>
        </w:rPr>
        <w:t>.</w:t>
      </w:r>
      <w:r w:rsidRPr="00C754CF">
        <w:rPr>
          <w:rFonts w:ascii="Helvetica" w:hAnsi="Helvetica" w:cs="Helvetica"/>
          <w:lang w:val="es-ES" w:eastAsia="es-ES"/>
        </w:rPr>
        <w:t xml:space="preserve"> Los argumentos se agrupan en una secuencia temporal, mediante un lazo asociativo inespecífico, los diferentes argumentos manifestados en este esquema / relación poseen el mismo valor. En otras palabras, se describen los pasos que se dan en un proceso, de tal forma que no se puede suprimir uno de ellos sin que se pierda el sentido de toda la serie. En ella se añaden algunos componentes como el orden y la secuencia de los elementos. Las marcas textuales que activan el esquema retórico son expresiones como: el primero…, la segunda etapa…, finalmente. </w:t>
      </w:r>
    </w:p>
    <w:p w:rsidR="00183D91" w:rsidRDefault="00183D91" w:rsidP="00C754CF">
      <w:pPr>
        <w:rPr>
          <w:rFonts w:ascii="Helvetica" w:hAnsi="Helvetica" w:cs="Helvetica"/>
          <w:lang w:val="es-ES" w:eastAsia="es-ES"/>
        </w:rPr>
      </w:pPr>
    </w:p>
    <w:p w:rsidR="005A3BFB" w:rsidRDefault="005A3BFB" w:rsidP="00C754CF">
      <w:pPr>
        <w:rPr>
          <w:rFonts w:ascii="Helvetica" w:hAnsi="Helvetica" w:cs="Helvetica"/>
          <w:lang w:val="es-ES" w:eastAsia="es-ES"/>
        </w:rPr>
      </w:pPr>
    </w:p>
    <w:p w:rsidR="005A3BFB" w:rsidRDefault="005A3BFB" w:rsidP="005A3BFB">
      <w:pPr>
        <w:pStyle w:val="Textoindependiente"/>
        <w:tabs>
          <w:tab w:val="left" w:pos="709"/>
        </w:tabs>
        <w:ind w:left="1080" w:hanging="371"/>
        <w:rPr>
          <w:rFonts w:ascii="Helvetica" w:hAnsi="Helvetica" w:cs="Helvetica"/>
          <w:b/>
          <w:color w:val="7030A0"/>
        </w:rPr>
      </w:pPr>
      <w:r w:rsidRPr="005A3BFB">
        <w:rPr>
          <w:rFonts w:ascii="Helvetica" w:hAnsi="Helvetica" w:cs="Helvetica"/>
          <w:b/>
          <w:color w:val="7030A0"/>
        </w:rPr>
        <w:t>5. Descripción</w:t>
      </w:r>
    </w:p>
    <w:p w:rsidR="005A3BFB" w:rsidRPr="005A3BFB" w:rsidRDefault="005A3BFB" w:rsidP="005A3BFB">
      <w:pPr>
        <w:pStyle w:val="Textoindependiente"/>
        <w:tabs>
          <w:tab w:val="left" w:pos="709"/>
        </w:tabs>
        <w:spacing w:line="240" w:lineRule="auto"/>
        <w:ind w:left="1078" w:hanging="369"/>
        <w:rPr>
          <w:rFonts w:ascii="Helvetica" w:hAnsi="Helvetica" w:cs="Helvetica"/>
          <w:b/>
          <w:color w:val="7030A0"/>
        </w:rPr>
      </w:pPr>
    </w:p>
    <w:tbl>
      <w:tblPr>
        <w:tblStyle w:val="Tablaconcuadrcula"/>
        <w:tblW w:w="0" w:type="auto"/>
        <w:tblInd w:w="108" w:type="dxa"/>
        <w:tblLook w:val="04A0"/>
      </w:tblPr>
      <w:tblGrid>
        <w:gridCol w:w="8505"/>
      </w:tblGrid>
      <w:tr w:rsidR="005A3BFB" w:rsidTr="005A3BFB">
        <w:tc>
          <w:tcPr>
            <w:tcW w:w="8505" w:type="dxa"/>
            <w:tcBorders>
              <w:top w:val="nil"/>
              <w:left w:val="nil"/>
              <w:bottom w:val="nil"/>
              <w:right w:val="nil"/>
            </w:tcBorders>
            <w:shd w:val="clear" w:color="auto" w:fill="E5DFEC" w:themeFill="accent4" w:themeFillTint="33"/>
          </w:tcPr>
          <w:p w:rsidR="005A3BFB" w:rsidRDefault="005A3BFB" w:rsidP="005A3BFB">
            <w:pPr>
              <w:ind w:firstLine="601"/>
              <w:jc w:val="both"/>
              <w:rPr>
                <w:rFonts w:ascii="Helvetica" w:hAnsi="Helvetica" w:cs="Helvetica"/>
                <w:sz w:val="24"/>
                <w:szCs w:val="24"/>
                <w:lang w:val="es-ES" w:eastAsia="es-ES"/>
              </w:rPr>
            </w:pPr>
          </w:p>
          <w:p w:rsidR="005A3BFB" w:rsidRPr="005A3BFB" w:rsidRDefault="005A3BFB" w:rsidP="005A3BFB">
            <w:pPr>
              <w:ind w:firstLine="601"/>
              <w:jc w:val="both"/>
              <w:rPr>
                <w:rFonts w:ascii="Helvetica" w:hAnsi="Helvetica" w:cs="Helvetica"/>
                <w:sz w:val="24"/>
                <w:szCs w:val="24"/>
                <w:lang w:val="es-ES" w:eastAsia="es-ES"/>
              </w:rPr>
            </w:pPr>
            <w:r w:rsidRPr="005A3BFB">
              <w:rPr>
                <w:rFonts w:ascii="Helvetica" w:hAnsi="Helvetica" w:cs="Helvetica"/>
                <w:sz w:val="24"/>
                <w:szCs w:val="24"/>
                <w:lang w:val="es-ES" w:eastAsia="es-ES"/>
              </w:rPr>
              <w:t xml:space="preserve">En la película de las Aventuras del Barón </w:t>
            </w:r>
            <w:proofErr w:type="spellStart"/>
            <w:r w:rsidRPr="005A3BFB">
              <w:rPr>
                <w:rFonts w:ascii="Helvetica" w:hAnsi="Helvetica" w:cs="Helvetica"/>
                <w:sz w:val="24"/>
                <w:szCs w:val="24"/>
                <w:lang w:val="es-ES" w:eastAsia="es-ES"/>
              </w:rPr>
              <w:t>Munchausen</w:t>
            </w:r>
            <w:proofErr w:type="spellEnd"/>
            <w:r w:rsidRPr="005A3BFB">
              <w:rPr>
                <w:rFonts w:ascii="Helvetica" w:hAnsi="Helvetica" w:cs="Helvetica"/>
                <w:sz w:val="24"/>
                <w:szCs w:val="24"/>
                <w:lang w:val="es-ES" w:eastAsia="es-ES"/>
              </w:rPr>
              <w:t xml:space="preserve"> aparece un particular instrumento musical cuya presentación y funcionamiento se asimilan a los de un órgano tubular. La consola y la tubería mantienen a grandes rasgos la forma original. Propiamente el cambio que determina la producción de los sonidos viene dado por el sistema que conecta los teclados y los registros a la caja de válvulas, a la que se le denomina secreto. </w:t>
            </w:r>
            <w:r w:rsidRPr="005A3BFB">
              <w:rPr>
                <w:rFonts w:ascii="Helvetica" w:hAnsi="Helvetica" w:cs="Helvetica"/>
                <w:sz w:val="24"/>
                <w:szCs w:val="24"/>
                <w:highlight w:val="yellow"/>
                <w:lang w:val="es-ES" w:eastAsia="es-ES"/>
              </w:rPr>
              <w:t>En este caso</w:t>
            </w:r>
            <w:r w:rsidRPr="005A3BFB">
              <w:rPr>
                <w:rFonts w:ascii="Helvetica" w:hAnsi="Helvetica" w:cs="Helvetica"/>
                <w:sz w:val="24"/>
                <w:szCs w:val="24"/>
                <w:lang w:val="es-ES" w:eastAsia="es-ES"/>
              </w:rPr>
              <w:t xml:space="preserve">, el secreto del instrumento no es otro que un buen número de esclavos de complexiones diversas que profieren toda suerte de alaridos cuando reciben la percusión directa de mazos y lanzas en distintas partes del cuerpo. </w:t>
            </w:r>
            <w:r w:rsidRPr="005A3BFB">
              <w:rPr>
                <w:rFonts w:ascii="Helvetica" w:hAnsi="Helvetica" w:cs="Helvetica"/>
                <w:sz w:val="24"/>
                <w:szCs w:val="24"/>
                <w:highlight w:val="yellow"/>
                <w:lang w:val="es-ES" w:eastAsia="es-ES"/>
              </w:rPr>
              <w:t>En última instancia</w:t>
            </w:r>
            <w:r w:rsidRPr="005A3BFB">
              <w:rPr>
                <w:rFonts w:ascii="Helvetica" w:hAnsi="Helvetica" w:cs="Helvetica"/>
                <w:sz w:val="24"/>
                <w:szCs w:val="24"/>
                <w:lang w:val="es-ES" w:eastAsia="es-ES"/>
              </w:rPr>
              <w:t xml:space="preserve">, el sistema de tubos sólo opera como resonador de una caja de tortura en la que cada sujeto aporta escalas y tesituras particulares no sólo desde sus quejidos, sino también desde la zona corporal impactada por los objetos afilados que la presionan. </w:t>
            </w:r>
            <w:r w:rsidRPr="005A3BFB">
              <w:rPr>
                <w:rFonts w:ascii="Helvetica" w:hAnsi="Helvetica" w:cs="Helvetica"/>
                <w:sz w:val="24"/>
                <w:szCs w:val="24"/>
                <w:highlight w:val="yellow"/>
                <w:lang w:val="es-ES" w:eastAsia="es-ES"/>
              </w:rPr>
              <w:t>De esta manera</w:t>
            </w:r>
            <w:r w:rsidRPr="005A3BFB">
              <w:rPr>
                <w:rFonts w:ascii="Helvetica" w:hAnsi="Helvetica" w:cs="Helvetica"/>
                <w:sz w:val="24"/>
                <w:szCs w:val="24"/>
                <w:lang w:val="es-ES" w:eastAsia="es-ES"/>
              </w:rPr>
              <w:t xml:space="preserve">, podemos imaginar un instrumento </w:t>
            </w:r>
            <w:r w:rsidRPr="005A3BFB">
              <w:rPr>
                <w:rFonts w:ascii="Helvetica" w:hAnsi="Helvetica" w:cs="Helvetica"/>
                <w:i/>
                <w:sz w:val="24"/>
                <w:szCs w:val="24"/>
                <w:lang w:val="es-ES" w:eastAsia="es-ES"/>
              </w:rPr>
              <w:t>sui generis</w:t>
            </w:r>
            <w:r w:rsidRPr="005A3BFB">
              <w:rPr>
                <w:rFonts w:ascii="Helvetica" w:hAnsi="Helvetica" w:cs="Helvetica"/>
                <w:sz w:val="24"/>
                <w:szCs w:val="24"/>
                <w:lang w:val="es-ES" w:eastAsia="es-ES"/>
              </w:rPr>
              <w:t xml:space="preserve"> que imita el timbre armónico del órgano en el registro de vox humana y que le incorpora el registro </w:t>
            </w:r>
            <w:proofErr w:type="spellStart"/>
            <w:r w:rsidRPr="005A3BFB">
              <w:rPr>
                <w:rFonts w:ascii="Helvetica" w:hAnsi="Helvetica" w:cs="Helvetica"/>
                <w:sz w:val="24"/>
                <w:szCs w:val="24"/>
                <w:lang w:val="es-ES" w:eastAsia="es-ES"/>
              </w:rPr>
              <w:t>percutivo</w:t>
            </w:r>
            <w:proofErr w:type="spellEnd"/>
            <w:r w:rsidRPr="005A3BFB">
              <w:rPr>
                <w:rFonts w:ascii="Helvetica" w:hAnsi="Helvetica" w:cs="Helvetica"/>
                <w:sz w:val="24"/>
                <w:szCs w:val="24"/>
                <w:lang w:val="es-ES" w:eastAsia="es-ES"/>
              </w:rPr>
              <w:t xml:space="preserve">, por demás carnavalesco, de carne humana. </w:t>
            </w:r>
          </w:p>
          <w:p w:rsidR="005A3BFB" w:rsidRDefault="005A3BFB" w:rsidP="005A3BFB">
            <w:pPr>
              <w:jc w:val="both"/>
              <w:rPr>
                <w:lang w:val="es-ES_tradnl"/>
              </w:rPr>
            </w:pPr>
          </w:p>
        </w:tc>
      </w:tr>
    </w:tbl>
    <w:p w:rsidR="005A3BFB" w:rsidRDefault="005A3BFB" w:rsidP="005A3BFB">
      <w:pPr>
        <w:ind w:left="708"/>
        <w:jc w:val="both"/>
        <w:rPr>
          <w:sz w:val="22"/>
          <w:szCs w:val="22"/>
          <w:lang w:val="es-ES_tradnl"/>
        </w:rPr>
      </w:pPr>
    </w:p>
    <w:p w:rsidR="005A3BFB" w:rsidRPr="005A3BFB" w:rsidRDefault="005A3BFB" w:rsidP="0045243A">
      <w:pPr>
        <w:widowControl w:val="0"/>
        <w:ind w:firstLine="709"/>
        <w:jc w:val="both"/>
        <w:rPr>
          <w:rFonts w:ascii="Helvetica" w:hAnsi="Helvetica" w:cs="Helvetica"/>
          <w:lang w:val="es-ES" w:eastAsia="es-ES"/>
        </w:rPr>
      </w:pPr>
      <w:r w:rsidRPr="005A3BFB">
        <w:rPr>
          <w:rFonts w:ascii="Helvetica" w:hAnsi="Helvetica" w:cs="Helvetica"/>
          <w:lang w:val="es-ES" w:eastAsia="es-ES"/>
        </w:rPr>
        <w:lastRenderedPageBreak/>
        <w:t xml:space="preserve">En esta descripción se representa lingüísticamente el mundo y se expresa la </w:t>
      </w:r>
      <w:r>
        <w:rPr>
          <w:rFonts w:ascii="Helvetica" w:hAnsi="Helvetica" w:cs="Helvetica"/>
          <w:lang w:val="es-ES" w:eastAsia="es-ES"/>
        </w:rPr>
        <w:t>forma</w:t>
      </w:r>
      <w:r w:rsidRPr="005A3BFB">
        <w:rPr>
          <w:rFonts w:ascii="Helvetica" w:hAnsi="Helvetica" w:cs="Helvetica"/>
          <w:lang w:val="es-ES" w:eastAsia="es-ES"/>
        </w:rPr>
        <w:t xml:space="preserve"> de percibir el cosmos, mediante los sentidos y a través de la mente que recuerda, asocia, interpreta. Se aplica a ciertos procesos y se realiza según un punto de vista. De igual manera, está condicionada por el contexto y orientada por el propósito comunicativo que es, predominantemente, informativo</w:t>
      </w:r>
      <w:r>
        <w:rPr>
          <w:rFonts w:ascii="Helvetica" w:hAnsi="Helvetica" w:cs="Helvetica"/>
          <w:lang w:val="es-ES" w:eastAsia="es-ES"/>
        </w:rPr>
        <w:t>.</w:t>
      </w:r>
      <w:r w:rsidRPr="005A3BFB">
        <w:rPr>
          <w:rFonts w:ascii="Helvetica" w:hAnsi="Helvetica" w:cs="Helvetica"/>
          <w:lang w:val="es-ES" w:eastAsia="es-ES"/>
        </w:rPr>
        <w:t xml:space="preserve"> Los elementos </w:t>
      </w:r>
      <w:r>
        <w:rPr>
          <w:rFonts w:ascii="Helvetica" w:hAnsi="Helvetica" w:cs="Helvetica"/>
          <w:lang w:val="es-ES" w:eastAsia="es-ES"/>
        </w:rPr>
        <w:t>se agrupan</w:t>
      </w:r>
      <w:r w:rsidRPr="005A3BFB">
        <w:rPr>
          <w:rFonts w:ascii="Helvetica" w:hAnsi="Helvetica" w:cs="Helvetica"/>
          <w:lang w:val="es-ES" w:eastAsia="es-ES"/>
        </w:rPr>
        <w:t xml:space="preserve"> en torno a dos categorías: el tema y los descriptores. Aquí la entidad objeto de descripción está en una posición jerárquica superior a los elementos que actúan como descriptores: rasgos, características, objetos, representados por sustantivos como “instrumento musical, consola, tubería, registros, caja, teclado”. Esta estructura se distingue, además, por la presencia de enlaces o conectores: “en este caso…, “de esta manera…, “en última instancia…” </w:t>
      </w:r>
    </w:p>
    <w:p w:rsidR="005A3BFB" w:rsidRPr="005A3BFB" w:rsidRDefault="005A3BFB" w:rsidP="005A3BFB">
      <w:pPr>
        <w:rPr>
          <w:rFonts w:ascii="Helvetica" w:hAnsi="Helvetica" w:cs="Helvetica"/>
          <w:lang w:val="es-ES" w:eastAsia="es-ES"/>
        </w:rPr>
      </w:pPr>
    </w:p>
    <w:p w:rsidR="005A3BFB" w:rsidRPr="005A3BFB" w:rsidRDefault="005A3BFB" w:rsidP="00C754CF">
      <w:pPr>
        <w:rPr>
          <w:rFonts w:ascii="Helvetica" w:hAnsi="Helvetica" w:cs="Helvetica"/>
          <w:lang w:val="es-ES" w:eastAsia="es-ES"/>
        </w:rPr>
      </w:pPr>
    </w:p>
    <w:sectPr w:rsidR="005A3BFB" w:rsidRPr="005A3BFB" w:rsidSect="00183D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230F"/>
    <w:multiLevelType w:val="hybridMultilevel"/>
    <w:tmpl w:val="557AA018"/>
    <w:lvl w:ilvl="0" w:tplc="808E5D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4A71"/>
    <w:rsid w:val="00015C54"/>
    <w:rsid w:val="00183D91"/>
    <w:rsid w:val="00214A71"/>
    <w:rsid w:val="002C49C1"/>
    <w:rsid w:val="0045243A"/>
    <w:rsid w:val="005A3BFB"/>
    <w:rsid w:val="0061273B"/>
    <w:rsid w:val="00754534"/>
    <w:rsid w:val="00756371"/>
    <w:rsid w:val="007F11DD"/>
    <w:rsid w:val="00925248"/>
    <w:rsid w:val="00C045AF"/>
    <w:rsid w:val="00C754CF"/>
    <w:rsid w:val="00EF47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71"/>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14A71"/>
    <w:pPr>
      <w:spacing w:line="360" w:lineRule="auto"/>
      <w:jc w:val="both"/>
    </w:pPr>
    <w:rPr>
      <w:lang w:val="es-ES" w:eastAsia="es-ES"/>
    </w:rPr>
  </w:style>
  <w:style w:type="character" w:customStyle="1" w:styleId="TextoindependienteCar">
    <w:name w:val="Texto independiente Car"/>
    <w:basedOn w:val="Fuentedeprrafopredeter"/>
    <w:link w:val="Textoindependiente"/>
    <w:uiPriority w:val="99"/>
    <w:rsid w:val="00214A71"/>
    <w:rPr>
      <w:rFonts w:ascii="Times New Roman" w:eastAsia="Times New Roman" w:hAnsi="Times New Roman" w:cs="Times New Roman"/>
      <w:sz w:val="24"/>
      <w:szCs w:val="24"/>
      <w:lang w:eastAsia="es-ES"/>
    </w:rPr>
  </w:style>
  <w:style w:type="table" w:styleId="Tablaconcuadrcula">
    <w:name w:val="Table Grid"/>
    <w:basedOn w:val="Tablanormal"/>
    <w:rsid w:val="00214A71"/>
    <w:pPr>
      <w:spacing w:after="0" w:line="240" w:lineRule="auto"/>
    </w:pPr>
    <w:rPr>
      <w:rFonts w:ascii="Calibri" w:eastAsia="Calibri" w:hAnsi="Calibri" w:cs="Times New Roman"/>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9432-F3CA-41A3-937E-CE50D1A3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URIBE</dc:creator>
  <cp:keywords/>
  <dc:description/>
  <cp:lastModifiedBy>Graciela Uribe</cp:lastModifiedBy>
  <cp:revision>7</cp:revision>
  <dcterms:created xsi:type="dcterms:W3CDTF">2011-12-27T13:29:00Z</dcterms:created>
  <dcterms:modified xsi:type="dcterms:W3CDTF">2012-02-03T01:24:00Z</dcterms:modified>
</cp:coreProperties>
</file>